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59" w:rsidRPr="00902059" w:rsidRDefault="0037213B" w:rsidP="00902059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37213B" w:rsidRPr="0037213B" w:rsidRDefault="0037213B" w:rsidP="0037213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textAlignment w:val="baseline"/>
        <w:rPr>
          <w:b/>
          <w:color w:val="000000"/>
        </w:rPr>
      </w:pPr>
      <w:bookmarkStart w:id="0" w:name="n112"/>
      <w:bookmarkEnd w:id="0"/>
      <w:r w:rsidRPr="0037213B">
        <w:rPr>
          <w:b/>
          <w:color w:val="000000"/>
        </w:rPr>
        <w:t>Початок примусового виконання рішення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276"/>
      <w:bookmarkEnd w:id="1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Виконавець розпочинає примусове виконання рішення на підставі виконавчого документа, зазначеного у </w:t>
      </w:r>
      <w:hyperlink r:id="rId5" w:anchor="n18" w:history="1">
        <w:r w:rsidRPr="0037213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статті 3</w:t>
        </w:r>
      </w:hyperlink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 «Про виконавче провадження»</w:t>
      </w:r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277"/>
      <w:bookmarkEnd w:id="2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1) за заявою </w:t>
      </w:r>
      <w:proofErr w:type="spellStart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стягувача</w:t>
      </w:r>
      <w:proofErr w:type="spellEnd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примусове виконання рішення;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278"/>
      <w:bookmarkEnd w:id="3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за заявою прокурора у разі представництва інтересів громадянина або держави в суді;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279"/>
      <w:bookmarkEnd w:id="4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якщо виконавчий документ надійшов від суду у випадках, передбачених законом;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280"/>
      <w:bookmarkEnd w:id="5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якщо виконавчий документ надійшов від суду на підставі ухвали про надання дозволу на примусове виконання рішення іноземного суду (</w:t>
      </w:r>
      <w:proofErr w:type="spellStart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суду</w:t>
      </w:r>
      <w:proofErr w:type="spellEnd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іноземної держави, інших компетентних органів іноземної держави, до повноважень яких належить розгляд цивільних чи господарських справ, іноземних чи міжнародних арбітражів) у порядку, встановленому законом;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281"/>
      <w:bookmarkEnd w:id="6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у разі якщо виконавчий документ надійшов від Національного агентства України з питань виявлення, розшуку та управління активами, одержаними від корупційних та інших злочинів.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282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заяви про примусове виконання рішення </w:t>
      </w:r>
      <w:proofErr w:type="spellStart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стягувач</w:t>
      </w:r>
      <w:proofErr w:type="spellEnd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додає квитанцію про сплату авансового внеску в розмірі 2 відсотків суми, що підлягає стягненню, але не більше 10 мінімальних розмірів заробітної плати, а за рішенням немайнового характеру та рішень про забезпечення позову - у розмірі одного мінімального розміру заробітної плати з боржника - фізичної особи та в розмірі двох мінімальних розмірів заробітної плати з боржника - юридичної особи.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40"/>
      <w:bookmarkEnd w:id="8"/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</w:pPr>
      <w:bookmarkStart w:id="9" w:name="n283"/>
      <w:bookmarkEnd w:id="9"/>
      <w:r w:rsidRPr="0037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 xml:space="preserve">Від сплати авансового внеску звільняються </w:t>
      </w:r>
      <w:proofErr w:type="spellStart"/>
      <w:r w:rsidRPr="0037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стягувачі</w:t>
      </w:r>
      <w:proofErr w:type="spellEnd"/>
      <w:r w:rsidRPr="0037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 xml:space="preserve"> за рішеннями про: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284"/>
      <w:bookmarkEnd w:id="10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стягнення заробітної плати, поновлення на роботі та за іншими вимогами, що випливають із трудових правовідносин;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285"/>
      <w:bookmarkEnd w:id="11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обчислення, призначення, перерахунок, здійснення, надання, одержання пенсійних виплат, соціальних виплат непрацездатним громадянам, виплат за загальнообов’язковим державним соціальним страхуванням, виплат та пільг дітям війни, інших соціальних виплат, доплат, соціальних послуг, допомоги, захисту, пільг;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286"/>
      <w:bookmarkEnd w:id="12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відшкодування шкоди, заподіяної каліцтвом або іншим ушкодженням здоров’я, а також смертю фізичної особи;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287"/>
      <w:bookmarkEnd w:id="13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стягнення аліментів;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288"/>
      <w:bookmarkEnd w:id="14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відшкодування майнової та/або моральної шкоди, завданої внаслідок вчинення кримінального правопорушення.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289"/>
      <w:bookmarkEnd w:id="15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сплати авансового внеску також звільняються державні органи, інваліди війни, інваліди I та II груп, законні представники дітей-інвалідів і недієздатних інвалідів I та II груп, громадяни, віднесені до категорій 1 та 2 осіб, які постраждали внаслідок Чорнобильської катастрофи, у разі їх звернення до органів державної виконавчої служби.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042"/>
      <w:bookmarkEnd w:id="16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виконання рішення Європейського суду з прав людини авансовий внесок не сплачується.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041"/>
      <w:bookmarkEnd w:id="17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заяві про примусове виконання рішення </w:t>
      </w:r>
      <w:proofErr w:type="spellStart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стягувач</w:t>
      </w:r>
      <w:proofErr w:type="spellEnd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має право зазначити відомості, що ідентифікують боржника чи можуть сприяти примусовому виконанню рішення (рахунок боржника, місце роботи чи отримання ним інших доходів, конкретне майно боржника та його місцезнаходження тощо), рахунки в банківських установах для отримання ним коштів, стягнутих з боржника, а також зазначає суму, яка частково сплачена боржником за виконавчим документом, за наявності часткової сплати.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91"/>
      <w:bookmarkEnd w:id="18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 час пред’явлення виконавчого документа до виконання подаються: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92"/>
      <w:bookmarkEnd w:id="19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у разі виконання рішення про конфіскацію майна у кримінальному провадженні - копії опису майна і відповідного судового рішення. У разі відсутності у справі опису майна засудженого надсилається довідка про те, що опис майна не проводився;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93"/>
      <w:bookmarkEnd w:id="20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у разі виконання рішення про конфіскацію майна згідно з постановою суду - копія протоколу вилучення майна, що підлягає конфіскації, або довідка про відсутність такого майна.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94"/>
      <w:bookmarkEnd w:id="21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5. Виконавець не пізніше наступного робочого дня з дня надходження до нього виконавчого документа виносить постанову про відкриття виконавчого провадження, в якій зазначає про обов’язок боржника подати декларацію про доходи та майно боржника, попереджає боржника про відповідальність за неподання такої декларації або внесення до неї завідомо неправдивих відомостей.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95"/>
      <w:bookmarkEnd w:id="22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постанові про відкриття виконавчого провадження за рішенням, примусове виконання якого передбачає справляння виконавчого збору, державний виконавець зазначає про стягнення з боржника виконавчого збору в розмірі, встановленому </w:t>
      </w:r>
      <w:hyperlink r:id="rId6" w:anchor="n300" w:history="1">
        <w:r w:rsidRPr="0037213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статтею 27</w:t>
        </w:r>
      </w:hyperlink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цього Закону.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96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рішенням немайнового характеру виконавець у постанові про відкриття виконавчого провадження зазначає про необхідність виконання боржником рішення протягом 10 робочих днів (крім рішень, що підлягають негайному виконанню).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97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разі якщо в заяві </w:t>
      </w:r>
      <w:proofErr w:type="spellStart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стягувача</w:t>
      </w:r>
      <w:proofErr w:type="spellEnd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зазначено рахунки боржника у банках, інших фінансових установах, виконавець негайно після відкриття виконавчого провадження накладає арешт на кошти боржника.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98"/>
      <w:bookmarkEnd w:id="25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разі якщо в заяві </w:t>
      </w:r>
      <w:proofErr w:type="spellStart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стягувача</w:t>
      </w:r>
      <w:proofErr w:type="spellEnd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зазначено конкретне майно боржника, виконавець негайно після відкриття виконавчого провадження перевіряє в електронних державних базах даних та реєстрах наявність права власності або іншого майнового права боржника на таке майно та накладає на нього арешт. На інше майно боржника виконавець накладає арешт в порядку, визначеному</w:t>
      </w:r>
      <w:r w:rsidRPr="0037213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7" w:anchor="n528" w:history="1">
        <w:r w:rsidRPr="0037213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статтею 56</w:t>
        </w:r>
      </w:hyperlink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цього Закону.</w:t>
      </w:r>
    </w:p>
    <w:p w:rsidR="0037213B" w:rsidRPr="0037213B" w:rsidRDefault="0037213B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99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разі якщо при відкритті виконавчого провадження виконавцем накладено арешт на майно боржника, боржник за погодженням із </w:t>
      </w:r>
      <w:proofErr w:type="spellStart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стягувачем</w:t>
      </w:r>
      <w:proofErr w:type="spellEnd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має право передати йому таке майно або реалізувати його та передати кошти від його реалізації </w:t>
      </w:r>
      <w:proofErr w:type="spellStart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стягувачу</w:t>
      </w:r>
      <w:proofErr w:type="spellEnd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рахунок повного або часткового погашення боргу за виконавчим документом. У разі продажу майна боржника покупець повинен внести кошти за придбане майно на рахунок органу державної виконавчої служби або приватного виконавця. Після передачі майна </w:t>
      </w:r>
      <w:proofErr w:type="spellStart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стягувачу</w:t>
      </w:r>
      <w:proofErr w:type="spellEnd"/>
      <w:r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або внесення покупцем коштів на рахунок органу державної виконавчої служби або приватного виконавця арешт з проданого майна боржника знімається за постановою виконавця.</w:t>
      </w:r>
    </w:p>
    <w:p w:rsidR="00F00FAA" w:rsidRDefault="00F00FAA"/>
    <w:p w:rsidR="001E08B3" w:rsidRPr="001E08B3" w:rsidRDefault="0037213B" w:rsidP="001E08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н</w:t>
      </w:r>
      <w:r w:rsidR="001E08B3" w:rsidRPr="001E08B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08B3" w:rsidRPr="001E08B3">
        <w:rPr>
          <w:rFonts w:ascii="Times New Roman" w:hAnsi="Times New Roman" w:cs="Times New Roman"/>
          <w:sz w:val="24"/>
          <w:szCs w:val="24"/>
        </w:rPr>
        <w:t xml:space="preserve"> Коломийського </w:t>
      </w:r>
      <w:proofErr w:type="spellStart"/>
      <w:r w:rsidR="001E08B3" w:rsidRPr="001E08B3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="001E08B3" w:rsidRPr="001E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8B3" w:rsidRPr="001E08B3" w:rsidRDefault="001E08B3" w:rsidP="001E08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E08B3">
        <w:rPr>
          <w:rFonts w:ascii="Times New Roman" w:hAnsi="Times New Roman" w:cs="Times New Roman"/>
          <w:sz w:val="24"/>
          <w:szCs w:val="24"/>
        </w:rPr>
        <w:t xml:space="preserve">ідділу </w:t>
      </w:r>
      <w:r>
        <w:rPr>
          <w:rFonts w:ascii="Times New Roman" w:hAnsi="Times New Roman" w:cs="Times New Roman"/>
          <w:sz w:val="24"/>
          <w:szCs w:val="24"/>
        </w:rPr>
        <w:t>державної виконавчої служби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213B">
        <w:rPr>
          <w:rFonts w:ascii="Times New Roman" w:hAnsi="Times New Roman" w:cs="Times New Roman"/>
          <w:sz w:val="24"/>
          <w:szCs w:val="24"/>
        </w:rPr>
        <w:t>Бордуланюк</w:t>
      </w:r>
      <w:proofErr w:type="spellEnd"/>
      <w:r w:rsidR="0037213B">
        <w:rPr>
          <w:rFonts w:ascii="Times New Roman" w:hAnsi="Times New Roman" w:cs="Times New Roman"/>
          <w:sz w:val="24"/>
          <w:szCs w:val="24"/>
        </w:rPr>
        <w:t xml:space="preserve"> Г.Ю.</w:t>
      </w:r>
      <w:bookmarkStart w:id="27" w:name="_GoBack"/>
      <w:bookmarkEnd w:id="27"/>
    </w:p>
    <w:sectPr w:rsidR="001E08B3" w:rsidRPr="001E0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C0"/>
    <w:rsid w:val="001E08B3"/>
    <w:rsid w:val="0037213B"/>
    <w:rsid w:val="00902059"/>
    <w:rsid w:val="00AC69C0"/>
    <w:rsid w:val="00F0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02059"/>
  </w:style>
  <w:style w:type="character" w:customStyle="1" w:styleId="apple-converted-space">
    <w:name w:val="apple-converted-space"/>
    <w:basedOn w:val="a0"/>
    <w:rsid w:val="00902059"/>
  </w:style>
  <w:style w:type="character" w:styleId="a3">
    <w:name w:val="Hyperlink"/>
    <w:basedOn w:val="a0"/>
    <w:uiPriority w:val="99"/>
    <w:semiHidden/>
    <w:unhideWhenUsed/>
    <w:rsid w:val="00902059"/>
    <w:rPr>
      <w:color w:val="0000FF"/>
      <w:u w:val="single"/>
    </w:rPr>
  </w:style>
  <w:style w:type="paragraph" w:styleId="a4">
    <w:name w:val="No Spacing"/>
    <w:uiPriority w:val="1"/>
    <w:qFormat/>
    <w:rsid w:val="001E0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02059"/>
  </w:style>
  <w:style w:type="character" w:customStyle="1" w:styleId="apple-converted-space">
    <w:name w:val="apple-converted-space"/>
    <w:basedOn w:val="a0"/>
    <w:rsid w:val="00902059"/>
  </w:style>
  <w:style w:type="character" w:styleId="a3">
    <w:name w:val="Hyperlink"/>
    <w:basedOn w:val="a0"/>
    <w:uiPriority w:val="99"/>
    <w:semiHidden/>
    <w:unhideWhenUsed/>
    <w:rsid w:val="00902059"/>
    <w:rPr>
      <w:color w:val="0000FF"/>
      <w:u w:val="single"/>
    </w:rPr>
  </w:style>
  <w:style w:type="paragraph" w:styleId="a4">
    <w:name w:val="No Spacing"/>
    <w:uiPriority w:val="1"/>
    <w:qFormat/>
    <w:rsid w:val="001E0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404-19/print14803465491701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404-19/print1480346549170172" TargetMode="External"/><Relationship Id="rId5" Type="http://schemas.openxmlformats.org/officeDocument/2006/relationships/hyperlink" Target="http://zakon2.rada.gov.ua/laws/show/1404-19/print14803465491701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3792</Words>
  <Characters>2163</Characters>
  <Application>Microsoft Office Word</Application>
  <DocSecurity>0</DocSecurity>
  <Lines>18</Lines>
  <Paragraphs>11</Paragraphs>
  <ScaleCrop>false</ScaleCrop>
  <Company>Home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2017-06-07T06:42:00Z</dcterms:created>
  <dcterms:modified xsi:type="dcterms:W3CDTF">2017-06-13T05:58:00Z</dcterms:modified>
</cp:coreProperties>
</file>