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AF42EA" w:rsidRPr="00AF42EA" w:rsidTr="00AF42EA">
        <w:tc>
          <w:tcPr>
            <w:tcW w:w="12135" w:type="dxa"/>
            <w:gridSpan w:val="2"/>
            <w:hideMark/>
          </w:tcPr>
          <w:p w:rsidR="00AF42EA" w:rsidRPr="00AF42EA" w:rsidRDefault="00AF42EA" w:rsidP="00AF4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МІНІСТЕРСТВО АГРАРНОЇ ПОЛІТИКИ ТА ПРОДОВОЛЬСТВА УКРАЇНИ</w:t>
            </w:r>
          </w:p>
        </w:tc>
      </w:tr>
      <w:tr w:rsidR="00AF42EA" w:rsidRPr="00AF42EA" w:rsidTr="00AF42EA">
        <w:tc>
          <w:tcPr>
            <w:tcW w:w="12135" w:type="dxa"/>
            <w:gridSpan w:val="2"/>
            <w:hideMark/>
          </w:tcPr>
          <w:p w:rsidR="00AF42EA" w:rsidRDefault="00AF42EA" w:rsidP="00AF4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val="uk-UA" w:eastAsia="ru-RU"/>
              </w:rPr>
            </w:pPr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НАКАЗ</w:t>
            </w:r>
          </w:p>
          <w:p w:rsidR="00AF42EA" w:rsidRPr="00AF42EA" w:rsidRDefault="00AF42EA" w:rsidP="00AF4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42EA" w:rsidRPr="00AF42EA" w:rsidTr="00AF42EA">
        <w:tc>
          <w:tcPr>
            <w:tcW w:w="12135" w:type="dxa"/>
            <w:gridSpan w:val="2"/>
            <w:hideMark/>
          </w:tcPr>
          <w:p w:rsidR="00AF42EA" w:rsidRDefault="00AF42EA" w:rsidP="00AF42EA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02.12.2016  № 509</w:t>
            </w:r>
          </w:p>
          <w:p w:rsidR="00AF42EA" w:rsidRPr="00AF42EA" w:rsidRDefault="00AF42EA" w:rsidP="00AF42EA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42EA" w:rsidRPr="00AF42EA" w:rsidTr="00AF42EA">
        <w:tc>
          <w:tcPr>
            <w:tcW w:w="3000" w:type="pct"/>
            <w:hideMark/>
          </w:tcPr>
          <w:p w:rsidR="00AF42EA" w:rsidRPr="00AF42EA" w:rsidRDefault="00AF42EA" w:rsidP="00AF4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hideMark/>
          </w:tcPr>
          <w:p w:rsidR="00AF42EA" w:rsidRPr="00AF42EA" w:rsidRDefault="00AF42EA" w:rsidP="00AF4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Міністерстві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19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грудня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2016 р.</w:t>
            </w: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1646/29776</w:t>
            </w:r>
          </w:p>
        </w:tc>
      </w:tr>
    </w:tbl>
    <w:p w:rsidR="00AF42EA" w:rsidRDefault="00AF42EA" w:rsidP="00AF42E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  <w:bookmarkStart w:id="1" w:name="n4"/>
      <w:bookmarkEnd w:id="1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затвердження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Порядку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використання</w:t>
      </w:r>
      <w:proofErr w:type="spellEnd"/>
      <w:proofErr w:type="gramStart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</w:t>
      </w:r>
      <w:proofErr w:type="gramEnd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ержавної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геодезичної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референцної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системи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координат УСК-2000 при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здійсненні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робіт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землеустрою</w:t>
      </w:r>
      <w:proofErr w:type="spellEnd"/>
    </w:p>
    <w:p w:rsidR="0033098A" w:rsidRDefault="0033098A" w:rsidP="00AF42E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33098A" w:rsidRPr="00AF42EA" w:rsidRDefault="0033098A" w:rsidP="00AF42E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3098A" w:rsidRDefault="00AF42EA" w:rsidP="0033098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5"/>
      <w:bookmarkEnd w:id="2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 Законів України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33098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uk-UA" w:eastAsia="ru-RU"/>
          </w:rPr>
          <w:t>"Про землеустрій"</w:t>
        </w:r>
      </w:hyperlink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33098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uk-UA" w:eastAsia="ru-RU"/>
          </w:rPr>
          <w:t>"Про Державний земельний кадастр"</w:t>
        </w:r>
      </w:hyperlink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</w:t>
      </w:r>
      <w:hyperlink r:id="rId7" w:tgtFrame="_blank" w:history="1">
        <w:r w:rsidRPr="0033098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uk-UA" w:eastAsia="ru-RU"/>
          </w:rPr>
          <w:t>"Про топографо-геодезичну і картографічну діяльність"</w:t>
        </w:r>
      </w:hyperlink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постанов Кабінету Міністрів України від 22 вересня 2004 року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33098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uk-UA" w:eastAsia="ru-RU"/>
          </w:rPr>
          <w:t>№ 1259</w:t>
        </w:r>
      </w:hyperlink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"Деякі питання застосування геодезичної системи координат" та від 17 жовтня 2012 року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tgtFrame="_blank" w:history="1">
        <w:r w:rsidRPr="0033098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uk-UA" w:eastAsia="ru-RU"/>
          </w:rPr>
          <w:t>№ 1051</w:t>
        </w:r>
      </w:hyperlink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"Про затвердження Порядку ведення Державного земельного кадастру",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anchor="n335" w:tgtFrame="_blank" w:history="1">
        <w:r w:rsidRPr="0033098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uk-UA" w:eastAsia="ru-RU"/>
          </w:rPr>
          <w:t>пункту 8</w:t>
        </w:r>
      </w:hyperlink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Положення про Міністерство аграрної політики та продовольства України, затвердженого постановою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листопада 2015 року № 1119,</w:t>
      </w:r>
    </w:p>
    <w:p w:rsidR="00AF42EA" w:rsidRPr="00AF42EA" w:rsidRDefault="00AF42EA" w:rsidP="0033098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2EA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НАКАЗУЮ:</w:t>
      </w:r>
    </w:p>
    <w:p w:rsidR="00AF42EA" w:rsidRPr="00AF42EA" w:rsidRDefault="00AF42EA" w:rsidP="0033098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anchor="n13" w:history="1">
        <w:r w:rsidRPr="00AF42E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Порядок </w:t>
        </w:r>
        <w:proofErr w:type="spellStart"/>
        <w:r w:rsidRPr="00AF42E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використання</w:t>
        </w:r>
        <w:proofErr w:type="spellEnd"/>
        <w:proofErr w:type="gramStart"/>
        <w:r w:rsidRPr="00AF42E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42E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Д</w:t>
        </w:r>
        <w:proofErr w:type="gramEnd"/>
        <w:r w:rsidRPr="00AF42E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ержавної</w:t>
        </w:r>
        <w:proofErr w:type="spellEnd"/>
        <w:r w:rsidRPr="00AF42E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42E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геодезичної</w:t>
        </w:r>
        <w:proofErr w:type="spellEnd"/>
        <w:r w:rsidRPr="00AF42E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42E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референцної</w:t>
        </w:r>
        <w:proofErr w:type="spellEnd"/>
        <w:r w:rsidRPr="00AF42E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42E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системи</w:t>
        </w:r>
        <w:proofErr w:type="spellEnd"/>
        <w:r w:rsidRPr="00AF42E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координат УСК-2000 при </w:t>
        </w:r>
        <w:proofErr w:type="spellStart"/>
        <w:r w:rsidRPr="00AF42E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здійсненні</w:t>
        </w:r>
        <w:proofErr w:type="spellEnd"/>
        <w:r w:rsidRPr="00AF42E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42E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робіт</w:t>
        </w:r>
        <w:proofErr w:type="spellEnd"/>
        <w:r w:rsidRPr="00AF42E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42E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із</w:t>
        </w:r>
        <w:proofErr w:type="spellEnd"/>
        <w:r w:rsidRPr="00AF42E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42E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землеустрою</w:t>
        </w:r>
        <w:proofErr w:type="spellEnd"/>
      </w:hyperlink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EA" w:rsidRPr="00AF42EA" w:rsidRDefault="00AF42EA" w:rsidP="0033098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Департаменту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землеробства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АПК в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на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EA" w:rsidRPr="00AF42EA" w:rsidRDefault="00AF42EA" w:rsidP="0033098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EA" w:rsidRDefault="00AF42EA" w:rsidP="0033098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9"/>
      <w:bookmarkEnd w:id="6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Контроль за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собою.</w:t>
      </w:r>
    </w:p>
    <w:p w:rsidR="0033098A" w:rsidRDefault="0033098A" w:rsidP="0033098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3098A" w:rsidRPr="00AF42EA" w:rsidRDefault="0033098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AF42EA" w:rsidRPr="00AF42EA" w:rsidTr="0033098A">
        <w:tc>
          <w:tcPr>
            <w:tcW w:w="2100" w:type="pct"/>
            <w:hideMark/>
          </w:tcPr>
          <w:p w:rsidR="00AF42EA" w:rsidRPr="00AF42EA" w:rsidRDefault="00AF42EA" w:rsidP="00AF4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10"/>
            <w:bookmarkEnd w:id="7"/>
            <w:proofErr w:type="spellStart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</w:t>
            </w:r>
            <w:proofErr w:type="gramStart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hideMark/>
          </w:tcPr>
          <w:p w:rsidR="00AF42EA" w:rsidRPr="00AF42EA" w:rsidRDefault="00AF42EA" w:rsidP="00AF42E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Т.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Кутовий</w:t>
            </w:r>
            <w:proofErr w:type="spellEnd"/>
          </w:p>
        </w:tc>
      </w:tr>
      <w:tr w:rsidR="0033098A" w:rsidRPr="00AF42EA" w:rsidTr="0033098A">
        <w:tc>
          <w:tcPr>
            <w:tcW w:w="2100" w:type="pct"/>
          </w:tcPr>
          <w:p w:rsidR="0033098A" w:rsidRDefault="0033098A" w:rsidP="00AF4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33098A" w:rsidRDefault="0033098A" w:rsidP="00AF4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33098A" w:rsidRDefault="0033098A" w:rsidP="00AF4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33098A" w:rsidRDefault="0033098A" w:rsidP="00AF4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33098A" w:rsidRDefault="0033098A" w:rsidP="00AF4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33098A" w:rsidRDefault="0033098A" w:rsidP="00AF4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33098A" w:rsidRDefault="0033098A" w:rsidP="00AF4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33098A" w:rsidRDefault="0033098A" w:rsidP="00AF4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33098A" w:rsidRDefault="0033098A" w:rsidP="00AF4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33098A" w:rsidRDefault="0033098A" w:rsidP="00AF4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33098A" w:rsidRDefault="0033098A" w:rsidP="00AF4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33098A" w:rsidRDefault="0033098A" w:rsidP="00AF4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33098A" w:rsidRDefault="0033098A" w:rsidP="00AF4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33098A" w:rsidRPr="0033098A" w:rsidRDefault="0033098A" w:rsidP="00AF4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bookmarkStart w:id="8" w:name="_GoBack"/>
            <w:bookmarkEnd w:id="8"/>
          </w:p>
        </w:tc>
        <w:tc>
          <w:tcPr>
            <w:tcW w:w="3500" w:type="pct"/>
          </w:tcPr>
          <w:p w:rsidR="0033098A" w:rsidRPr="00AF42EA" w:rsidRDefault="0033098A" w:rsidP="00AF42E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AF42EA" w:rsidRPr="00AF42EA" w:rsidRDefault="00AF42EA" w:rsidP="00AF42EA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08"/>
      <w:bookmarkEnd w:id="9"/>
      <w:r w:rsidRPr="00AF42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AF42EA" w:rsidRPr="00AF42EA" w:rsidTr="0033098A">
        <w:tc>
          <w:tcPr>
            <w:tcW w:w="3000" w:type="pct"/>
            <w:hideMark/>
          </w:tcPr>
          <w:p w:rsidR="0033098A" w:rsidRDefault="0033098A" w:rsidP="00AF4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bookmarkStart w:id="10" w:name="n11"/>
            <w:bookmarkEnd w:id="10"/>
          </w:p>
          <w:p w:rsidR="00AF42EA" w:rsidRPr="00AF42EA" w:rsidRDefault="00AF42EA" w:rsidP="00AF4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hideMark/>
          </w:tcPr>
          <w:p w:rsidR="00AF42EA" w:rsidRPr="00AF42EA" w:rsidRDefault="00AF42EA" w:rsidP="00AF4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ЗАТВЕРДЖЕНО</w:t>
            </w: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Наказ</w:t>
            </w: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Міністерства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аграрної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політики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та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продовольства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02.12.2016  № 509</w:t>
            </w:r>
          </w:p>
        </w:tc>
      </w:tr>
      <w:tr w:rsidR="00AF42EA" w:rsidRPr="00AF42EA" w:rsidTr="0033098A">
        <w:tc>
          <w:tcPr>
            <w:tcW w:w="3000" w:type="pct"/>
            <w:hideMark/>
          </w:tcPr>
          <w:p w:rsidR="00AF42EA" w:rsidRPr="00AF42EA" w:rsidRDefault="00AF42EA" w:rsidP="00AF4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2"/>
            <w:bookmarkEnd w:id="11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hideMark/>
          </w:tcPr>
          <w:p w:rsidR="00AF42EA" w:rsidRPr="00AF42EA" w:rsidRDefault="00AF42EA" w:rsidP="00AF4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Міністерстві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19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грудня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2016 р.</w:t>
            </w: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1646/29776</w:t>
            </w:r>
          </w:p>
        </w:tc>
      </w:tr>
    </w:tbl>
    <w:p w:rsidR="00AF42EA" w:rsidRPr="00AF42EA" w:rsidRDefault="00AF42EA" w:rsidP="00AF42E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3"/>
      <w:bookmarkEnd w:id="12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ПОРЯДОК 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використання</w:t>
      </w:r>
      <w:proofErr w:type="spellEnd"/>
      <w:proofErr w:type="gramStart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</w:t>
      </w:r>
      <w:proofErr w:type="gramEnd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ержавної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геодезичної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референцної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системи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координат УСК-2000 при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здійсненні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робіт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землеустрою</w:t>
      </w:r>
      <w:proofErr w:type="spellEnd"/>
    </w:p>
    <w:p w:rsidR="00AF42EA" w:rsidRPr="00AF42EA" w:rsidRDefault="00AF42EA" w:rsidP="00AF42E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4"/>
      <w:bookmarkEnd w:id="13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І.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Загальні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5"/>
      <w:bookmarkEnd w:id="14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механізм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ержавної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референцної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 УСК-2000 при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землеустрою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є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обов’язковим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розробниками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землеустрою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6"/>
      <w:bookmarkEnd w:id="15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наведені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нижче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вживаються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7"/>
      <w:bookmarkEnd w:id="16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ДГМ), яка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висот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вимі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зв’язані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суміжними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геодезичними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пунктами;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8"/>
      <w:bookmarkEnd w:id="17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геопросторового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геопросторового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координатами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точок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віднесена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референц-еліпсоїда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19"/>
      <w:bookmarkEnd w:id="18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 (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координат, однозначно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зв’язані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Державною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геодезичною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референцною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системою координат УСК-2000 та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областей,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Києва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Севастополя;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0"/>
      <w:bookmarkEnd w:id="19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сукупність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1"/>
      <w:bookmarkEnd w:id="20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геопросторового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землеустрою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2"/>
      <w:bookmarkEnd w:id="21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ITRS (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Terrestrial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Reference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System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земна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референцна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реалізована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Секцією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бюро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обертання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22" w:name="n23"/>
      <w:bookmarkEnd w:id="22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ITRF2000 (International Terrestrial Reference Frame 2000)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земна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референцна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епоху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2000 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року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23" w:name="n24"/>
      <w:bookmarkEnd w:id="23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ETRS89 (European Terrestrial Reference System 1989)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Європейська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земна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референцна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1989 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року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24" w:name="n25"/>
      <w:bookmarkEnd w:id="24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WGS-84 (World Geodetic System 1984)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Світова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1984 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року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25" w:name="n26"/>
      <w:bookmarkEnd w:id="25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RTK (Real Time Kinematic) - 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спостережень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навігаційної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супутникової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ГНСС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дає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змогу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визначати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місцеположення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точок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реальному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7"/>
      <w:bookmarkEnd w:id="26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ержавної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референцної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 УСК-2000 проводиться з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дотриманням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8"/>
      <w:bookmarkEnd w:id="27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референцних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координат;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29"/>
      <w:bookmarkEnd w:id="28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строгих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перетворення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трансформування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малоточних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координат до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високоточних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0"/>
      <w:bookmarkEnd w:id="29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врахування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іністративно-територіального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устрою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1"/>
      <w:bookmarkEnd w:id="30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використання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існуючої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програмно-методичної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інфраструктури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кадастру.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2"/>
      <w:bookmarkEnd w:id="31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ІІ.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координат,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застосовуються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здійсненні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робіт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землеустрою</w:t>
      </w:r>
      <w:proofErr w:type="spellEnd"/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3"/>
      <w:bookmarkEnd w:id="32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Координатною основою при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землеустрою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референцна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координат УСК-2000 (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система координат УСК-2000).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4"/>
      <w:bookmarkEnd w:id="33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координат УСК-2000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паралельності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осей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просторовим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осям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ITRS. За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відліку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 УСК-2000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референц-еліпсоїд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Красовського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5"/>
      <w:bookmarkEnd w:id="34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координат УСК-2000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однозначний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геодезичний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зв’язок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системою ITRS/ITRF2000.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6"/>
      <w:bookmarkEnd w:id="35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висоти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Балтійській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висот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1977 року,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вихідним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початком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нуль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Кронштадтського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футштока.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7"/>
      <w:bookmarkEnd w:id="36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координат УСК-2000 на </w:t>
      </w:r>
      <w:proofErr w:type="spellStart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ісцевості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закріплена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пунктами ДГМ.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38"/>
      <w:bookmarkEnd w:id="37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Геодезичною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основою при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землеустрою</w:t>
      </w:r>
      <w:proofErr w:type="spellEnd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  <w:proofErr w:type="gramEnd"/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39"/>
      <w:bookmarkEnd w:id="38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ДГМ 1-3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40"/>
      <w:bookmarkEnd w:id="39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мереж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згущення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ГМЗ) 4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 та 2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розряді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1"/>
      <w:bookmarkEnd w:id="40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знімальної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2"/>
      <w:bookmarkEnd w:id="41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ДГМ, ГМЗ та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точок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геопросторових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3"/>
      <w:bookmarkEnd w:id="42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геодезичними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еліпсоїдальними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координатами - широта (В),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довгота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(L),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висота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(Н);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4"/>
      <w:bookmarkEnd w:id="43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прямокутними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координатами (x, y) в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проекції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Гаусса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Крюгера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 УСК-2000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системах координат,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однозначно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зв’язані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системою координат УСК-2000.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45"/>
      <w:bookmarkEnd w:id="44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ІІІ.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Використання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координат УСК-2000 при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здійсненні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робіт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землеустрою</w:t>
      </w:r>
      <w:proofErr w:type="spellEnd"/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6"/>
      <w:bookmarkEnd w:id="45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землеустрою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 УСК-2000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системах координат, однозначно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зв’язаних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системою координат УСК-2000.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47"/>
      <w:bookmarkEnd w:id="46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координат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наказами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геодезії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картографії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кадастру на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Києва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Севастополя.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48"/>
      <w:bookmarkEnd w:id="47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земельного кадастру на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поширюється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координат.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49"/>
      <w:bookmarkEnd w:id="48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Картографічні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землеустрою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системах координат СК-42, СК-63 та </w:t>
      </w:r>
      <w:proofErr w:type="spellStart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ісцевих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системах координат,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переводяться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систему координат УСК-2000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координат, однозначно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зв’язану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системою координат УСК-2000.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50"/>
      <w:bookmarkEnd w:id="49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Комплекс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польових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землеустрою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51"/>
      <w:bookmarkEnd w:id="50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побудову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ГМЗ 4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 та 2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розряді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52"/>
      <w:bookmarkEnd w:id="51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знімальної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53"/>
      <w:bookmarkEnd w:id="52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знімання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місцевості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кадастру;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4"/>
      <w:bookmarkEnd w:id="53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оброблення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польових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55"/>
      <w:bookmarkEnd w:id="54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ГМЗ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56"/>
      <w:bookmarkEnd w:id="55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спостереженнями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ГНСС;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57"/>
      <w:bookmarkEnd w:id="56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ГНСС у 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статичному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58"/>
      <w:bookmarkEnd w:id="57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побудовою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лінійно-кутових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мереж,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прокладанням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полігонометричних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 та 2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розряді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59"/>
      <w:bookmarkEnd w:id="58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Знімальна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мережа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згущення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ДГМ та ГМЗ до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щільності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знімання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геопросторових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60"/>
      <w:bookmarkEnd w:id="59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знімальної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61"/>
      <w:bookmarkEnd w:id="60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спостереженнями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ГНСС у 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статичному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62"/>
      <w:bookmarkEnd w:id="61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спостереженнями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ГНСС 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мережевого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RTK;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63"/>
      <w:bookmarkEnd w:id="62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побудовою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лінійно-кутових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мереж та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прокладанням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полігонометричних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ході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64"/>
      <w:bookmarkEnd w:id="63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Апаратура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супутникових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радіонавігаційних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для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знімання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геопросторових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12" w:anchor="n14" w:tgtFrame="_blank" w:history="1"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Порядку </w:t>
        </w:r>
        <w:proofErr w:type="spellStart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використання</w:t>
        </w:r>
        <w:proofErr w:type="spellEnd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апаратури</w:t>
        </w:r>
        <w:proofErr w:type="spellEnd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супутникових</w:t>
        </w:r>
        <w:proofErr w:type="spellEnd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радіонавігаційних</w:t>
        </w:r>
        <w:proofErr w:type="spellEnd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систем </w:t>
        </w:r>
        <w:proofErr w:type="spellStart"/>
        <w:proofErr w:type="gramStart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ід</w:t>
        </w:r>
        <w:proofErr w:type="spellEnd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час </w:t>
        </w:r>
        <w:proofErr w:type="spellStart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топографо-</w:t>
        </w:r>
        <w:proofErr w:type="spellStart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геодезичних</w:t>
        </w:r>
        <w:proofErr w:type="spellEnd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картографічних</w:t>
        </w:r>
        <w:proofErr w:type="spellEnd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аерофотознімальних</w:t>
        </w:r>
        <w:proofErr w:type="spellEnd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проектних</w:t>
        </w:r>
        <w:proofErr w:type="spellEnd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дослідницьких</w:t>
        </w:r>
        <w:proofErr w:type="spellEnd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робіт</w:t>
        </w:r>
        <w:proofErr w:type="spellEnd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вишукувань</w:t>
        </w:r>
        <w:proofErr w:type="spellEnd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кадастрових</w:t>
        </w:r>
        <w:proofErr w:type="spellEnd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зйомок</w:t>
        </w:r>
        <w:proofErr w:type="spellEnd"/>
      </w:hyperlink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1998 року № 1075.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65"/>
      <w:bookmarkEnd w:id="64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Знімання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геопросторових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місцевості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методами,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визначеними</w:t>
      </w:r>
      <w:hyperlink r:id="rId13" w:tgtFrame="_blank" w:history="1"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Інструкцією</w:t>
        </w:r>
        <w:proofErr w:type="spellEnd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топографічного</w:t>
        </w:r>
        <w:proofErr w:type="spellEnd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знімання</w:t>
        </w:r>
        <w:proofErr w:type="spellEnd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у масштабах 1:5000, 1:2000, 1:1000 та 1:500 (ГКНТА-2.04-02-98)</w:t>
        </w:r>
      </w:hyperlink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Головного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геодезії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картографії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кадастру при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1998 року № 56,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зареєстрованою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1998 року за № 393/2833, та 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"http://zakon2.rada.gov.ua/laws/show/z0391-10" \t "_blank" </w:instrTex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F42E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Інструкцією</w:t>
      </w:r>
      <w:proofErr w:type="spellEnd"/>
      <w:r w:rsidRPr="00AF42E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про </w:t>
      </w:r>
      <w:proofErr w:type="spellStart"/>
      <w:r w:rsidRPr="00AF42E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встановлення</w:t>
      </w:r>
      <w:proofErr w:type="spellEnd"/>
      <w:r w:rsidRPr="00AF42E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(</w:t>
      </w:r>
      <w:proofErr w:type="spellStart"/>
      <w:r w:rsidRPr="00AF42E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відновлення</w:t>
      </w:r>
      <w:proofErr w:type="spellEnd"/>
      <w:r w:rsidRPr="00AF42E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) меж </w:t>
      </w:r>
      <w:proofErr w:type="spellStart"/>
      <w:r w:rsidRPr="00AF42E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земельних</w:t>
      </w:r>
      <w:proofErr w:type="spellEnd"/>
      <w:r w:rsidRPr="00AF42E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ділянок</w:t>
      </w:r>
      <w:proofErr w:type="spellEnd"/>
      <w:r w:rsidRPr="00AF42E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в </w:t>
      </w:r>
      <w:proofErr w:type="spellStart"/>
      <w:r w:rsidRPr="00AF42E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натурі</w:t>
      </w:r>
      <w:proofErr w:type="spellEnd"/>
      <w:r w:rsidRPr="00AF42E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(на </w:t>
      </w:r>
      <w:proofErr w:type="spellStart"/>
      <w:r w:rsidRPr="00AF42E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місцевості</w:t>
      </w:r>
      <w:proofErr w:type="spellEnd"/>
      <w:r w:rsidRPr="00AF42E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) та </w:t>
      </w:r>
      <w:proofErr w:type="spellStart"/>
      <w:r w:rsidRPr="00AF42E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їх</w:t>
      </w:r>
      <w:proofErr w:type="spellEnd"/>
      <w:r w:rsidRPr="00AF42E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закріплення</w:t>
      </w:r>
      <w:proofErr w:type="spellEnd"/>
      <w:r w:rsidRPr="00AF42E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межовими</w:t>
      </w:r>
      <w:proofErr w:type="spellEnd"/>
      <w:r w:rsidRPr="00AF42EA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знаками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Державного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року № 376,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зареєстрованою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року за № 391/17686.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66"/>
      <w:bookmarkEnd w:id="65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супутникових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приймачів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ГНСС для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точок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знімальної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зйомки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геопросторових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застосуванням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RTK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розробниками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землеустрою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перевіряється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диференційне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поправок,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задаються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мережами ГНСС.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67"/>
      <w:bookmarkEnd w:id="66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диференційного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поправок </w:t>
      </w:r>
      <w:proofErr w:type="spellStart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RTK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найближчих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пунктах ДГМ і ГМЗ,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отримуються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адміністратора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68"/>
      <w:bookmarkEnd w:id="67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Розбіжність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повинна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0,1 м 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0,2 м - в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селищах, 0,3 м - 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пунктах і 0,5 м - за межами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n69"/>
      <w:bookmarkEnd w:id="68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зйомок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землеустрою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 УСК-2000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місцевій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координат, однозначно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зв’язаній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системою координат УСК-2000.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n70"/>
      <w:bookmarkEnd w:id="69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лінійно-кутових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вимірювань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вводиться поправка 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виміряні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Гаусса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Крюгера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71"/>
      <w:bookmarkEnd w:id="70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в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горизонтальне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AF42E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12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 кривизну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Гаусса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Крюгера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обчислюється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формулами</w:t>
      </w:r>
    </w:p>
    <w:p w:rsidR="00AF42EA" w:rsidRPr="00AF42EA" w:rsidRDefault="00AF42EA" w:rsidP="00AF42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n72"/>
      <w:bookmarkEnd w:id="71"/>
      <w:r>
        <w:rPr>
          <w:rFonts w:ascii="Times New Roman" w:eastAsia="Times New Roman" w:hAnsi="Times New Roman" w:cs="Times New Roman"/>
          <w:noProof/>
          <w:color w:val="5674B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619375" cy="628650"/>
            <wp:effectExtent l="0" t="0" r="9525" b="0"/>
            <wp:docPr id="19" name="Рисунок 19" descr="http://zakon2.rada.gov.ua/laws/file/imgs/50/p463159n72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kon2.rada.gov.ua/laws/file/imgs/50/p463159n72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EA" w:rsidRPr="00AF42EA" w:rsidRDefault="00AF42EA" w:rsidP="00AF42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n73"/>
      <w:bookmarkEnd w:id="72"/>
      <w:r>
        <w:rPr>
          <w:rFonts w:ascii="Times New Roman" w:eastAsia="Times New Roman" w:hAnsi="Times New Roman" w:cs="Times New Roman"/>
          <w:noProof/>
          <w:color w:val="5674B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85900" cy="304800"/>
            <wp:effectExtent l="0" t="0" r="0" b="0"/>
            <wp:docPr id="18" name="Рисунок 18" descr="http://zakon2.rada.gov.ua/laws/file/imgs/50/p463159n73-1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kon2.rada.gov.ua/laws/file/imgs/50/p463159n73-1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EA" w:rsidRPr="00AF42EA" w:rsidRDefault="00AF42EA" w:rsidP="00AF42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n74"/>
      <w:bookmarkEnd w:id="73"/>
      <w:r>
        <w:rPr>
          <w:rFonts w:ascii="Times New Roman" w:eastAsia="Times New Roman" w:hAnsi="Times New Roman" w:cs="Times New Roman"/>
          <w:noProof/>
          <w:color w:val="5674B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619375" cy="542925"/>
            <wp:effectExtent l="0" t="0" r="9525" b="9525"/>
            <wp:docPr id="17" name="Рисунок 17" descr="http://zakon2.rada.gov.ua/laws/file/imgs/50/p463159n74-2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kon2.rada.gov.ua/laws/file/imgs/50/p463159n74-2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EA" w:rsidRPr="00AF42EA" w:rsidRDefault="00AF42EA" w:rsidP="00AF42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n75"/>
      <w:bookmarkEnd w:id="74"/>
      <w:r>
        <w:rPr>
          <w:rFonts w:ascii="Times New Roman" w:eastAsia="Times New Roman" w:hAnsi="Times New Roman" w:cs="Times New Roman"/>
          <w:noProof/>
          <w:color w:val="5674B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085850" cy="200025"/>
            <wp:effectExtent l="0" t="0" r="0" b="9525"/>
            <wp:docPr id="16" name="Рисунок 16" descr="http://zakon2.rada.gov.ua/laws/file/imgs/50/p463159n75-3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kon2.rada.gov.ua/laws/file/imgs/50/p463159n75-3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094"/>
        <w:gridCol w:w="80"/>
        <w:gridCol w:w="7861"/>
      </w:tblGrid>
      <w:tr w:rsidR="00AF42EA" w:rsidRPr="00AF42EA" w:rsidTr="00AF42E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n76"/>
            <w:bookmarkEnd w:id="75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x1, y1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прямокутні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координати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точки </w:t>
            </w:r>
            <w:proofErr w:type="spellStart"/>
            <w:proofErr w:type="gram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інії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F42EA" w:rsidRPr="00AF42EA" w:rsidTr="00AF42E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x2, y2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прямокутні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координати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кінцевої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точки </w:t>
            </w:r>
            <w:proofErr w:type="spellStart"/>
            <w:proofErr w:type="gram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інії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n77"/>
      <w:bookmarkEnd w:id="76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в </w:t>
      </w:r>
      <w:proofErr w:type="spellStart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Дd</w:t>
      </w:r>
      <w:r w:rsidRPr="00AF42E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12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Гаусса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Крюгера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обчислюється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формулою</w:t>
      </w:r>
    </w:p>
    <w:p w:rsidR="00AF42EA" w:rsidRPr="00AF42EA" w:rsidRDefault="00AF42EA" w:rsidP="00AF42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n78"/>
      <w:bookmarkEnd w:id="77"/>
      <w:r>
        <w:rPr>
          <w:rFonts w:ascii="Times New Roman" w:eastAsia="Times New Roman" w:hAnsi="Times New Roman" w:cs="Times New Roman"/>
          <w:noProof/>
          <w:color w:val="5674B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076325" cy="457200"/>
            <wp:effectExtent l="0" t="0" r="9525" b="0"/>
            <wp:docPr id="15" name="Рисунок 15" descr="http://zakon2.rada.gov.ua/laws/file/imgs/50/p463159n78-4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kon2.rada.gov.ua/laws/file/imgs/50/p463159n78-4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140"/>
        <w:gridCol w:w="107"/>
        <w:gridCol w:w="7790"/>
      </w:tblGrid>
      <w:tr w:rsidR="00AF42EA" w:rsidRPr="00AF42EA" w:rsidTr="00AF42E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n79"/>
            <w:bookmarkEnd w:id="78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горизонтальна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віддаль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виміряної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лінії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F42EA" w:rsidRPr="00AF42EA" w:rsidTr="00AF42E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74B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38125" cy="219075"/>
                  <wp:effectExtent l="0" t="0" r="9525" b="9525"/>
                  <wp:docPr id="14" name="Рисунок 14" descr="http://zakon2.rada.gov.ua/laws/file/imgs/50/p463159n79-5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akon2.rada.gov.ua/laws/file/imgs/50/p463159n79-5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радіус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кривизни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еліпсоїда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Красовського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становить 6 378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кілометрі</w:t>
            </w:r>
            <w:proofErr w:type="gram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n80"/>
      <w:bookmarkEnd w:id="79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Для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супутникових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спостережень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прикладне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програмне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виробників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приймачів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ГНСС.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n81"/>
      <w:bookmarkEnd w:id="80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просторових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прямокутних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 X, Y, Z у системах координат ITRS/ITRF2000 до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просторових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прямокутних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 X, Y, Z в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 УСК-2000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методом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Гельмерта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наближених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параметрі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42EA" w:rsidRPr="00AF42EA" w:rsidRDefault="00AF42EA" w:rsidP="00AF42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n82"/>
      <w:bookmarkEnd w:id="81"/>
      <w:r>
        <w:rPr>
          <w:rFonts w:ascii="Times New Roman" w:eastAsia="Times New Roman" w:hAnsi="Times New Roman" w:cs="Times New Roman"/>
          <w:noProof/>
          <w:color w:val="5674B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76350" cy="1581150"/>
            <wp:effectExtent l="0" t="0" r="0" b="0"/>
            <wp:docPr id="13" name="Рисунок 13" descr="http://zakon2.rada.gov.ua/laws/file/imgs/50/p463159n82-6.gi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kon2.rada.gov.ua/laws/file/imgs/50/p463159n82-6.gi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654"/>
        <w:gridCol w:w="106"/>
        <w:gridCol w:w="7282"/>
      </w:tblGrid>
      <w:tr w:rsidR="00AF42EA" w:rsidRPr="00AF42EA" w:rsidTr="00AF42E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n83"/>
            <w:bookmarkEnd w:id="82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74B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71525" cy="180975"/>
                  <wp:effectExtent l="0" t="0" r="9525" b="9525"/>
                  <wp:docPr id="12" name="Рисунок 12" descr="http://zakon2.rada.gov.ua/laws/file/imgs/50/p463159n83-7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zakon2.rada.gov.ua/laws/file/imgs/50/p463159n83-7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величини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зміщення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 ITRS/ITRF2000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відносно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 УСК-2000 за осями Х, Y, Z;</w:t>
            </w:r>
          </w:p>
        </w:tc>
      </w:tr>
      <w:tr w:rsidR="00AF42EA" w:rsidRPr="00AF42EA" w:rsidTr="00AF42E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74B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90550" cy="228600"/>
                  <wp:effectExtent l="0" t="0" r="0" b="0"/>
                  <wp:docPr id="11" name="Рисунок 11" descr="http://zakon2.rada.gov.ua/laws/file/imgs/50/p463159n83-8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zakon2.rada.gov.ua/laws/file/imgs/50/p463159n83-8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величини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куті</w:t>
            </w:r>
            <w:proofErr w:type="gram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повороту осей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 ITRS/ITRF2000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відносно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осей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 УСК-2000 за осями Х, Y, Z;</w:t>
            </w:r>
          </w:p>
        </w:tc>
      </w:tr>
      <w:tr w:rsidR="00AF42EA" w:rsidRPr="00AF42EA" w:rsidTr="00AF42E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74B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3825" cy="161925"/>
                  <wp:effectExtent l="0" t="0" r="9525" b="9525"/>
                  <wp:docPr id="10" name="Рисунок 10" descr="http://zakon2.rada.gov.ua/laws/file/imgs/50/p463159n83-9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zakon2.rada.gov.ua/laws/file/imgs/50/p463159n83-9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масштабного</w:t>
            </w:r>
            <w:proofErr w:type="gram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коефіцієнта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n84"/>
      <w:bookmarkEnd w:id="83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Перетворення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просторових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прямокутних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 X, Y, Z 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B, L, H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еліпсоїда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Красовського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такими параметрами: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n85"/>
      <w:bookmarkEnd w:id="84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велика </w:t>
      </w:r>
      <w:proofErr w:type="spellStart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іввісь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- 6 378 245 м;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n86"/>
      <w:bookmarkEnd w:id="85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стиснення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- 1:298,3.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n87"/>
      <w:bookmarkEnd w:id="86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перерахування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 на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проекції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Гаусса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Крюгера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списку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проекцій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супутникових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спостережень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вибирається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поперечна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проекція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Меркатора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Transverse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Mercator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задаються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n88"/>
      <w:bookmarkEnd w:id="87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початок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відліку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широти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- 0</w:t>
      </w:r>
      <w:r w:rsidRPr="00AF42EA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°</w:t>
      </w:r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n89"/>
      <w:bookmarkEnd w:id="88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початок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відліку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довготи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довготи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осьового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меридіана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паспорта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n90"/>
      <w:bookmarkEnd w:id="89"/>
      <w:proofErr w:type="spellStart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івнічний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умовний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зсув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початку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 - 0 м для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координат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областей,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Севастополь; для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координат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паспорта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n91"/>
      <w:bookmarkEnd w:id="90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східний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умовний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зсув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- 300 000 м для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координат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областей,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Севастополь; для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координат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паспортом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координат;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n92"/>
      <w:bookmarkEnd w:id="91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масштабний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коефіцієнт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- 1,0000.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n93"/>
      <w:bookmarkEnd w:id="92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висот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 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висот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Балтійську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висот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1977 року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квазігеоїда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n94"/>
      <w:bookmarkEnd w:id="93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геопросторового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Гаусса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Крюгера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аналітичним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 за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прямокутними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координатами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AF42E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i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r w:rsidRPr="00AF42E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i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точок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формулою</w:t>
      </w:r>
    </w:p>
    <w:p w:rsidR="00AF42EA" w:rsidRPr="00AF42EA" w:rsidRDefault="00AF42EA" w:rsidP="00AF42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n95"/>
      <w:bookmarkEnd w:id="94"/>
      <w:r>
        <w:rPr>
          <w:rFonts w:ascii="Times New Roman" w:eastAsia="Times New Roman" w:hAnsi="Times New Roman" w:cs="Times New Roman"/>
          <w:noProof/>
          <w:color w:val="5674B9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019300" cy="695325"/>
            <wp:effectExtent l="0" t="0" r="0" b="9525"/>
            <wp:docPr id="9" name="Рисунок 9" descr="http://zakon2.rada.gov.ua/laws/file/imgs/50/p463159n95-10.gif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kon2.rada.gov.ua/laws/file/imgs/50/p463159n95-10.gif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EA" w:rsidRPr="00AF42EA" w:rsidRDefault="00AF42EA" w:rsidP="00AF42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n96"/>
      <w:bookmarkEnd w:id="95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</w:p>
    <w:p w:rsidR="00AF42EA" w:rsidRPr="00AF42EA" w:rsidRDefault="00AF42EA" w:rsidP="00AF42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n97"/>
      <w:bookmarkEnd w:id="96"/>
      <w:r>
        <w:rPr>
          <w:rFonts w:ascii="Times New Roman" w:eastAsia="Times New Roman" w:hAnsi="Times New Roman" w:cs="Times New Roman"/>
          <w:noProof/>
          <w:color w:val="5674B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200275" cy="409575"/>
            <wp:effectExtent l="0" t="0" r="9525" b="9525"/>
            <wp:docPr id="8" name="Рисунок 8" descr="http://zakon2.rada.gov.ua/laws/file/imgs/50/p463159n97-11.gif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kon2.rada.gov.ua/laws/file/imgs/50/p463159n97-11.gif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600"/>
        <w:gridCol w:w="80"/>
        <w:gridCol w:w="7359"/>
      </w:tblGrid>
      <w:tr w:rsidR="00AF42EA" w:rsidRPr="00AF42EA" w:rsidTr="00AF42EA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n98"/>
            <w:bookmarkEnd w:id="97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= 1, 2, 3,...n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поворотних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точок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n99"/>
      <w:bookmarkEnd w:id="98"/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геопросторових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строгим методом на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референц-еліпсоїда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обчисленої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координатами x, y в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проекції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Гаусса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Крюгера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вводиться поправка </w:t>
      </w:r>
      <w:proofErr w:type="spellStart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F42E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р</w:t>
      </w:r>
      <w:proofErr w:type="spellEnd"/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обчислюється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формулою</w:t>
      </w:r>
    </w:p>
    <w:p w:rsidR="00AF42EA" w:rsidRPr="00AF42EA" w:rsidRDefault="00AF42EA" w:rsidP="00AF42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n100"/>
      <w:bookmarkEnd w:id="99"/>
      <w:r>
        <w:rPr>
          <w:rFonts w:ascii="Times New Roman" w:eastAsia="Times New Roman" w:hAnsi="Times New Roman" w:cs="Times New Roman"/>
          <w:noProof/>
          <w:color w:val="5674B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09675" cy="571500"/>
            <wp:effectExtent l="0" t="0" r="9525" b="0"/>
            <wp:docPr id="7" name="Рисунок 7" descr="http://zakon2.rada.gov.ua/laws/file/imgs/50/p463159n100-12.gif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kon2.rada.gov.ua/laws/file/imgs/50/p463159n100-12.gif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782"/>
        <w:gridCol w:w="80"/>
        <w:gridCol w:w="8172"/>
      </w:tblGrid>
      <w:tr w:rsidR="00AF42EA" w:rsidRPr="00AF42EA" w:rsidTr="00AF42E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n101"/>
            <w:bookmarkEnd w:id="100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74B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38125" cy="219075"/>
                  <wp:effectExtent l="0" t="0" r="9525" b="9525"/>
                  <wp:docPr id="6" name="Рисунок 6" descr="http://zakon2.rada.gov.ua/laws/file/imgs/50/p463159n101-13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zakon2.rada.gov.ua/laws/file/imgs/50/p463159n101-13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радіус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кривизни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еліпсоїда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Красовського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становить 6378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кілометрі</w:t>
            </w:r>
            <w:proofErr w:type="gram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F42EA" w:rsidRPr="00AF42EA" w:rsidTr="00AF42E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74B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3350" cy="142875"/>
                  <wp:effectExtent l="0" t="0" r="0" b="9525"/>
                  <wp:docPr id="5" name="Рисунок 5" descr="http://zakon2.rada.gov.ua/laws/file/imgs/50/p463159n101-14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zakon2.rada.gov.ua/laws/file/imgs/50/p463159n101-14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обчислена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геопросторового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площині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Гаусса </w:t>
            </w:r>
            <w:proofErr w:type="gram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рюгера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F42EA" w:rsidRPr="00AF42EA" w:rsidTr="00AF42E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74B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19075" cy="219075"/>
                  <wp:effectExtent l="0" t="0" r="9525" b="9525"/>
                  <wp:docPr id="4" name="Рисунок 4" descr="http://zakon2.rada.gov.ua/laws/file/imgs/50/p463159n101-15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zakon2.rada.gov.ua/laws/file/imgs/50/p463159n101-15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обчислюється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формулою</w:t>
            </w:r>
          </w:p>
        </w:tc>
      </w:tr>
    </w:tbl>
    <w:p w:rsidR="00AF42EA" w:rsidRPr="00AF42EA" w:rsidRDefault="00AF42EA" w:rsidP="00AF42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n102"/>
      <w:bookmarkEnd w:id="101"/>
      <w:r>
        <w:rPr>
          <w:rFonts w:ascii="Times New Roman" w:eastAsia="Times New Roman" w:hAnsi="Times New Roman" w:cs="Times New Roman"/>
          <w:noProof/>
          <w:color w:val="5674B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33550" cy="971550"/>
            <wp:effectExtent l="0" t="0" r="0" b="0"/>
            <wp:docPr id="3" name="Рисунок 3" descr="http://zakon2.rada.gov.ua/laws/file/imgs/50/p463159n102-16.gif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kon2.rada.gov.ua/laws/file/imgs/50/p463159n102-16.gif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750"/>
        <w:gridCol w:w="80"/>
        <w:gridCol w:w="8203"/>
      </w:tblGrid>
      <w:tr w:rsidR="00AF42EA" w:rsidRPr="00AF42EA" w:rsidTr="00AF42E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n103"/>
            <w:bookmarkEnd w:id="102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74B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1925" cy="219075"/>
                  <wp:effectExtent l="0" t="0" r="9525" b="9525"/>
                  <wp:docPr id="2" name="Рисунок 2" descr="http://zakon2.rada.gov.ua/laws/file/imgs/50/p463159n103-17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zakon2.rada.gov.ua/laws/file/imgs/50/p463159n103-17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прямокутна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ордината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поворотної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точки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межі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геопросторового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F42EA" w:rsidRPr="00AF42EA" w:rsidTr="00AF42E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74B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Рисунок 1" descr="http://zakon2.rada.gov.ua/laws/file/imgs/50/p463159n103-18.gi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zakon2.rada.gov.ua/laws/file/imgs/50/p463159n103-18.gif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2EA" w:rsidRPr="00AF42EA" w:rsidRDefault="00AF42EA" w:rsidP="00AF42E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поворотних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геопросторових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об’єкті</w:t>
            </w:r>
            <w:proofErr w:type="gramStart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n104"/>
      <w:bookmarkEnd w:id="103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довжин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ліній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обчислених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прямокутними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координатами x, y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точок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геопросторових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проекції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Гаусса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Крюгера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довжини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ліній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вводяться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обернені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поправки (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 "-") за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Гаусса -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Крюгера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референц-еліпсоїда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формулами,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наведеними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n105"/>
      <w:bookmarkEnd w:id="104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геодезичної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площі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геопросторового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землеустрою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2EA" w:rsidRPr="00AF42EA" w:rsidRDefault="00AF42EA" w:rsidP="00AF42E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n106"/>
      <w:bookmarkEnd w:id="105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Геодезична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державною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власністю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надається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іністратором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банку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2" w:anchor="n9" w:tgtFrame="_blank" w:history="1"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Порядку </w:t>
        </w:r>
        <w:proofErr w:type="spellStart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побудови</w:t>
        </w:r>
        <w:proofErr w:type="spellEnd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Державної</w:t>
        </w:r>
        <w:proofErr w:type="spellEnd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геодезичної</w:t>
        </w:r>
        <w:proofErr w:type="spellEnd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42E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мережі</w:t>
        </w:r>
        <w:proofErr w:type="spellEnd"/>
      </w:hyperlink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07 </w:t>
      </w:r>
      <w:proofErr w:type="spellStart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AF4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 року № 646.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AF42EA" w:rsidRPr="00AF42EA" w:rsidTr="0033098A">
        <w:tc>
          <w:tcPr>
            <w:tcW w:w="2100" w:type="pct"/>
            <w:hideMark/>
          </w:tcPr>
          <w:p w:rsidR="00AF42EA" w:rsidRPr="00AF42EA" w:rsidRDefault="00AF42EA" w:rsidP="00AF4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n107"/>
            <w:bookmarkEnd w:id="106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Департаменту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землеробства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та </w:t>
            </w:r>
            <w:proofErr w:type="spellStart"/>
            <w:proofErr w:type="gramStart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</w:t>
            </w:r>
            <w:proofErr w:type="gramEnd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ічної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політики</w:t>
            </w:r>
            <w:proofErr w:type="spellEnd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АПК</w:t>
            </w:r>
          </w:p>
        </w:tc>
        <w:tc>
          <w:tcPr>
            <w:tcW w:w="3500" w:type="pct"/>
            <w:hideMark/>
          </w:tcPr>
          <w:p w:rsidR="00AF42EA" w:rsidRPr="00AF42EA" w:rsidRDefault="00AF42EA" w:rsidP="00AF42E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В. </w:t>
            </w:r>
            <w:proofErr w:type="spellStart"/>
            <w:r w:rsidRPr="00AF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Топчій</w:t>
            </w:r>
            <w:proofErr w:type="spellEnd"/>
          </w:p>
        </w:tc>
      </w:tr>
    </w:tbl>
    <w:p w:rsidR="0079795E" w:rsidRDefault="0033098A"/>
    <w:sectPr w:rsidR="0079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EA"/>
    <w:rsid w:val="0033098A"/>
    <w:rsid w:val="0045732F"/>
    <w:rsid w:val="007D14AE"/>
    <w:rsid w:val="00A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AF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F42EA"/>
  </w:style>
  <w:style w:type="paragraph" w:customStyle="1" w:styleId="rvps4">
    <w:name w:val="rvps4"/>
    <w:basedOn w:val="a"/>
    <w:rsid w:val="00AF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F42EA"/>
  </w:style>
  <w:style w:type="paragraph" w:customStyle="1" w:styleId="rvps7">
    <w:name w:val="rvps7"/>
    <w:basedOn w:val="a"/>
    <w:rsid w:val="00AF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F42EA"/>
  </w:style>
  <w:style w:type="paragraph" w:customStyle="1" w:styleId="rvps14">
    <w:name w:val="rvps14"/>
    <w:basedOn w:val="a"/>
    <w:rsid w:val="00AF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2EA"/>
  </w:style>
  <w:style w:type="paragraph" w:customStyle="1" w:styleId="rvps6">
    <w:name w:val="rvps6"/>
    <w:basedOn w:val="a"/>
    <w:rsid w:val="00AF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F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42EA"/>
    <w:rPr>
      <w:color w:val="0000FF"/>
      <w:u w:val="single"/>
    </w:rPr>
  </w:style>
  <w:style w:type="character" w:customStyle="1" w:styleId="rvts52">
    <w:name w:val="rvts52"/>
    <w:basedOn w:val="a0"/>
    <w:rsid w:val="00AF42EA"/>
  </w:style>
  <w:style w:type="character" w:customStyle="1" w:styleId="rvts44">
    <w:name w:val="rvts44"/>
    <w:basedOn w:val="a0"/>
    <w:rsid w:val="00AF42EA"/>
  </w:style>
  <w:style w:type="paragraph" w:customStyle="1" w:styleId="rvps15">
    <w:name w:val="rvps15"/>
    <w:basedOn w:val="a"/>
    <w:rsid w:val="00AF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0">
    <w:name w:val="rvts40"/>
    <w:basedOn w:val="a0"/>
    <w:rsid w:val="00AF42EA"/>
  </w:style>
  <w:style w:type="paragraph" w:customStyle="1" w:styleId="rvps12">
    <w:name w:val="rvps12"/>
    <w:basedOn w:val="a"/>
    <w:rsid w:val="00AF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0">
    <w:name w:val="rvts80"/>
    <w:basedOn w:val="a0"/>
    <w:rsid w:val="00AF42EA"/>
  </w:style>
  <w:style w:type="paragraph" w:styleId="a5">
    <w:name w:val="Balloon Text"/>
    <w:basedOn w:val="a"/>
    <w:link w:val="a6"/>
    <w:uiPriority w:val="99"/>
    <w:semiHidden/>
    <w:unhideWhenUsed/>
    <w:rsid w:val="00AF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AF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F42EA"/>
  </w:style>
  <w:style w:type="paragraph" w:customStyle="1" w:styleId="rvps4">
    <w:name w:val="rvps4"/>
    <w:basedOn w:val="a"/>
    <w:rsid w:val="00AF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F42EA"/>
  </w:style>
  <w:style w:type="paragraph" w:customStyle="1" w:styleId="rvps7">
    <w:name w:val="rvps7"/>
    <w:basedOn w:val="a"/>
    <w:rsid w:val="00AF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F42EA"/>
  </w:style>
  <w:style w:type="paragraph" w:customStyle="1" w:styleId="rvps14">
    <w:name w:val="rvps14"/>
    <w:basedOn w:val="a"/>
    <w:rsid w:val="00AF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2EA"/>
  </w:style>
  <w:style w:type="paragraph" w:customStyle="1" w:styleId="rvps6">
    <w:name w:val="rvps6"/>
    <w:basedOn w:val="a"/>
    <w:rsid w:val="00AF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F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42EA"/>
    <w:rPr>
      <w:color w:val="0000FF"/>
      <w:u w:val="single"/>
    </w:rPr>
  </w:style>
  <w:style w:type="character" w:customStyle="1" w:styleId="rvts52">
    <w:name w:val="rvts52"/>
    <w:basedOn w:val="a0"/>
    <w:rsid w:val="00AF42EA"/>
  </w:style>
  <w:style w:type="character" w:customStyle="1" w:styleId="rvts44">
    <w:name w:val="rvts44"/>
    <w:basedOn w:val="a0"/>
    <w:rsid w:val="00AF42EA"/>
  </w:style>
  <w:style w:type="paragraph" w:customStyle="1" w:styleId="rvps15">
    <w:name w:val="rvps15"/>
    <w:basedOn w:val="a"/>
    <w:rsid w:val="00AF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0">
    <w:name w:val="rvts40"/>
    <w:basedOn w:val="a0"/>
    <w:rsid w:val="00AF42EA"/>
  </w:style>
  <w:style w:type="paragraph" w:customStyle="1" w:styleId="rvps12">
    <w:name w:val="rvps12"/>
    <w:basedOn w:val="a"/>
    <w:rsid w:val="00AF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0">
    <w:name w:val="rvts80"/>
    <w:basedOn w:val="a0"/>
    <w:rsid w:val="00AF42EA"/>
  </w:style>
  <w:style w:type="paragraph" w:styleId="a5">
    <w:name w:val="Balloon Text"/>
    <w:basedOn w:val="a"/>
    <w:link w:val="a6"/>
    <w:uiPriority w:val="99"/>
    <w:semiHidden/>
    <w:unhideWhenUsed/>
    <w:rsid w:val="00AF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z0393-98" TargetMode="External"/><Relationship Id="rId18" Type="http://schemas.openxmlformats.org/officeDocument/2006/relationships/hyperlink" Target="http://zakon2.rada.gov.ua/laws/file/imgs/50/p463159n74-2.bmp" TargetMode="External"/><Relationship Id="rId26" Type="http://schemas.openxmlformats.org/officeDocument/2006/relationships/hyperlink" Target="http://zakon2.rada.gov.ua/laws/file/imgs/50/p463159n82-6.bmp" TargetMode="External"/><Relationship Id="rId39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image" Target="media/image4.gif"/><Relationship Id="rId34" Type="http://schemas.openxmlformats.org/officeDocument/2006/relationships/hyperlink" Target="http://zakon2.rada.gov.ua/laws/file/imgs/50/p463159n95-10.bmp" TargetMode="External"/><Relationship Id="rId42" Type="http://schemas.openxmlformats.org/officeDocument/2006/relationships/hyperlink" Target="http://zakon2.rada.gov.ua/laws/file/imgs/50/p463159n101-14.emf" TargetMode="External"/><Relationship Id="rId47" Type="http://schemas.openxmlformats.org/officeDocument/2006/relationships/image" Target="media/image17.gif"/><Relationship Id="rId50" Type="http://schemas.openxmlformats.org/officeDocument/2006/relationships/hyperlink" Target="http://zakon2.rada.gov.ua/laws/file/imgs/50/p463159n103-18.emf" TargetMode="External"/><Relationship Id="rId7" Type="http://schemas.openxmlformats.org/officeDocument/2006/relationships/hyperlink" Target="http://zakon2.rada.gov.ua/laws/show/353-14" TargetMode="External"/><Relationship Id="rId12" Type="http://schemas.openxmlformats.org/officeDocument/2006/relationships/hyperlink" Target="http://zakon2.rada.gov.ua/laws/show/1075-98-%D0%BF/paran14" TargetMode="External"/><Relationship Id="rId17" Type="http://schemas.openxmlformats.org/officeDocument/2006/relationships/image" Target="media/image2.gif"/><Relationship Id="rId25" Type="http://schemas.openxmlformats.org/officeDocument/2006/relationships/image" Target="media/image6.gif"/><Relationship Id="rId33" Type="http://schemas.openxmlformats.org/officeDocument/2006/relationships/image" Target="media/image10.gif"/><Relationship Id="rId38" Type="http://schemas.openxmlformats.org/officeDocument/2006/relationships/hyperlink" Target="http://zakon2.rada.gov.ua/laws/file/imgs/50/p463159n100-12.bmp" TargetMode="External"/><Relationship Id="rId46" Type="http://schemas.openxmlformats.org/officeDocument/2006/relationships/hyperlink" Target="http://zakon2.rada.gov.ua/laws/file/imgs/50/p463159n102-16.bm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file/imgs/50/p463159n73-1.bmp" TargetMode="External"/><Relationship Id="rId20" Type="http://schemas.openxmlformats.org/officeDocument/2006/relationships/hyperlink" Target="http://zakon2.rada.gov.ua/laws/file/imgs/50/p463159n75-3.bmp" TargetMode="External"/><Relationship Id="rId29" Type="http://schemas.openxmlformats.org/officeDocument/2006/relationships/image" Target="media/image8.gif"/><Relationship Id="rId41" Type="http://schemas.openxmlformats.org/officeDocument/2006/relationships/image" Target="media/image14.gi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3613-17" TargetMode="External"/><Relationship Id="rId11" Type="http://schemas.openxmlformats.org/officeDocument/2006/relationships/hyperlink" Target="http://zakon2.rada.gov.ua/laws/show/z1646-16" TargetMode="External"/><Relationship Id="rId24" Type="http://schemas.openxmlformats.org/officeDocument/2006/relationships/hyperlink" Target="http://zakon2.rada.gov.ua/laws/file/imgs/50/p463159n79-5.emf" TargetMode="External"/><Relationship Id="rId32" Type="http://schemas.openxmlformats.org/officeDocument/2006/relationships/hyperlink" Target="http://zakon2.rada.gov.ua/laws/file/imgs/50/p463159n83-9.emf" TargetMode="External"/><Relationship Id="rId37" Type="http://schemas.openxmlformats.org/officeDocument/2006/relationships/image" Target="media/image12.gif"/><Relationship Id="rId40" Type="http://schemas.openxmlformats.org/officeDocument/2006/relationships/hyperlink" Target="http://zakon2.rada.gov.ua/laws/file/imgs/50/p463159n101-13.emf" TargetMode="External"/><Relationship Id="rId45" Type="http://schemas.openxmlformats.org/officeDocument/2006/relationships/image" Target="media/image16.gif"/><Relationship Id="rId53" Type="http://schemas.openxmlformats.org/officeDocument/2006/relationships/fontTable" Target="fontTable.xml"/><Relationship Id="rId5" Type="http://schemas.openxmlformats.org/officeDocument/2006/relationships/hyperlink" Target="http://zakon2.rada.gov.ua/laws/show/858-15" TargetMode="External"/><Relationship Id="rId15" Type="http://schemas.openxmlformats.org/officeDocument/2006/relationships/image" Target="media/image1.gif"/><Relationship Id="rId23" Type="http://schemas.openxmlformats.org/officeDocument/2006/relationships/image" Target="media/image5.gif"/><Relationship Id="rId28" Type="http://schemas.openxmlformats.org/officeDocument/2006/relationships/hyperlink" Target="http://zakon2.rada.gov.ua/laws/file/imgs/50/p463159n83-7.emf" TargetMode="External"/><Relationship Id="rId36" Type="http://schemas.openxmlformats.org/officeDocument/2006/relationships/hyperlink" Target="http://zakon2.rada.gov.ua/laws/file/imgs/50/p463159n97-11.bmp" TargetMode="External"/><Relationship Id="rId49" Type="http://schemas.openxmlformats.org/officeDocument/2006/relationships/image" Target="media/image18.gif"/><Relationship Id="rId10" Type="http://schemas.openxmlformats.org/officeDocument/2006/relationships/hyperlink" Target="http://zakon2.rada.gov.ua/laws/show/1119-2015-%D0%BF/paran335" TargetMode="External"/><Relationship Id="rId19" Type="http://schemas.openxmlformats.org/officeDocument/2006/relationships/image" Target="media/image3.gif"/><Relationship Id="rId31" Type="http://schemas.openxmlformats.org/officeDocument/2006/relationships/image" Target="media/image9.gif"/><Relationship Id="rId44" Type="http://schemas.openxmlformats.org/officeDocument/2006/relationships/hyperlink" Target="http://zakon2.rada.gov.ua/laws/file/imgs/50/p463159n101-15.emf" TargetMode="External"/><Relationship Id="rId52" Type="http://schemas.openxmlformats.org/officeDocument/2006/relationships/hyperlink" Target="http://zakon2.rada.gov.ua/laws/show/646-2013-%D0%BF/paran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051-2012-%D0%BF" TargetMode="External"/><Relationship Id="rId14" Type="http://schemas.openxmlformats.org/officeDocument/2006/relationships/hyperlink" Target="http://zakon2.rada.gov.ua/laws/file/imgs/50/p463159n72.bmp" TargetMode="External"/><Relationship Id="rId22" Type="http://schemas.openxmlformats.org/officeDocument/2006/relationships/hyperlink" Target="http://zakon2.rada.gov.ua/laws/file/imgs/50/p463159n78-4.bmp" TargetMode="External"/><Relationship Id="rId27" Type="http://schemas.openxmlformats.org/officeDocument/2006/relationships/image" Target="media/image7.gif"/><Relationship Id="rId30" Type="http://schemas.openxmlformats.org/officeDocument/2006/relationships/hyperlink" Target="http://zakon2.rada.gov.ua/laws/file/imgs/50/p463159n83-8.emf" TargetMode="External"/><Relationship Id="rId35" Type="http://schemas.openxmlformats.org/officeDocument/2006/relationships/image" Target="media/image11.gif"/><Relationship Id="rId43" Type="http://schemas.openxmlformats.org/officeDocument/2006/relationships/image" Target="media/image15.gif"/><Relationship Id="rId48" Type="http://schemas.openxmlformats.org/officeDocument/2006/relationships/hyperlink" Target="http://zakon2.rada.gov.ua/laws/file/imgs/50/p463159n103-17.emf" TargetMode="External"/><Relationship Id="rId8" Type="http://schemas.openxmlformats.org/officeDocument/2006/relationships/hyperlink" Target="http://zakon2.rada.gov.ua/laws/show/1259-2004-%D0%BF" TargetMode="External"/><Relationship Id="rId51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2017-01-20T09:40:00Z</dcterms:created>
  <dcterms:modified xsi:type="dcterms:W3CDTF">2017-01-20T09:42:00Z</dcterms:modified>
</cp:coreProperties>
</file>