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59" w:rsidRPr="00902059" w:rsidRDefault="0037213B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7213B" w:rsidRPr="0037213B" w:rsidRDefault="009A3D29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11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7213B"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A3D29" w:rsidRPr="009A3D29" w:rsidRDefault="009A3D29" w:rsidP="009A3D29">
      <w:pPr>
        <w:shd w:val="clear" w:color="auto" w:fill="FFFFFF"/>
        <w:spacing w:after="15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A3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Органи та особи, які здійснюють примусове виконання рішень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55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Примусове виконання рішень покладається на органи державної виконавчої служби (державних виконавців) та у передбачених цим Законом випадках на приватних виконавців, правовий статус та організація діяльності яких встановлюються </w:t>
      </w:r>
      <w:hyperlink r:id="rId5" w:tgtFrame="_blank" w:history="1">
        <w:r w:rsidRPr="009A3D2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Законом України "Про органи та осіб, які здійснюють примусове виконання судових рішень і рішень інших органів"</w:t>
        </w:r>
      </w:hyperlink>
      <w:r w:rsidRPr="009A3D2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56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Приватний виконавець здійснює примусове виконання рішень, передбачених </w:t>
      </w:r>
      <w:hyperlink r:id="rId6" w:anchor="n18" w:history="1">
        <w:r w:rsidRPr="009A3D2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статтею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9A3D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 «Про виконавче провадження»</w:t>
      </w:r>
      <w:r w:rsidRPr="009A3D29">
        <w:rPr>
          <w:rFonts w:ascii="Times New Roman" w:eastAsia="Times New Roman" w:hAnsi="Times New Roman" w:cs="Times New Roman"/>
          <w:sz w:val="24"/>
          <w:szCs w:val="24"/>
          <w:lang w:eastAsia="uk-UA"/>
        </w:rPr>
        <w:t>, крім: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7"/>
      <w:bookmarkEnd w:id="3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рішень про відібрання і передання дитини, встановлення побачення з нею або усунення перешкод у побаченні з дитиною;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58"/>
      <w:bookmarkEnd w:id="4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рішень, за якими боржником є держава, державні органи, Національний банк України, органи місцевого самоврядування, їх посадові особи, державні та комунальні підприємства, установи, організації, юридичні особи, частка держави у статутному капіталі яких перевищує 25 відсотків, та/або які фінансуються виключно за кошти державного або місцевого бюджету;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59"/>
      <w:bookmarkEnd w:id="5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рішень, за якими боржником є юридична особа, примусова реалізація майна якої заборонена відповідно до закону;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60"/>
      <w:bookmarkEnd w:id="6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4) рішень, за якими </w:t>
      </w:r>
      <w:proofErr w:type="spellStart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стягувачами</w:t>
      </w:r>
      <w:proofErr w:type="spellEnd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 держава, державні органи;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61"/>
      <w:bookmarkEnd w:id="7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рішень адміністративних судів та рішень Європейського суду з прав людини;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62"/>
      <w:bookmarkEnd w:id="8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рішень, які передбачають вчинення дій щодо майна державної чи комунальної власності;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63"/>
      <w:bookmarkEnd w:id="9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рішень про виселення та вселення фізичних осіб;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64"/>
      <w:bookmarkEnd w:id="10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рішень, за якими боржниками є діти або фізичні особи, які визнані недієздатними чи цивільна дієздатність яких обмежена;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65"/>
      <w:bookmarkEnd w:id="11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9) рішень про конфіскацію майна;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66"/>
      <w:bookmarkEnd w:id="12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 рішень, виконання яких віднесено цим Законом безпосередньо до повноважень інших органів, які не є органами примусового виконання;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67"/>
      <w:bookmarkEnd w:id="13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11) інших випадків, передбачених цим Законом </w:t>
      </w:r>
      <w:proofErr w:type="spellStart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 </w:t>
      </w:r>
      <w:proofErr w:type="spellEnd"/>
      <w:r w:rsidRPr="009A3D2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9A3D29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"http://zakon3.rada.gov.ua/laws/show/1403-19" \t "_blank" </w:instrText>
      </w:r>
      <w:r w:rsidRPr="009A3D2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proofErr w:type="spellStart"/>
      <w:r w:rsidRPr="009A3D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Зако</w:t>
      </w:r>
      <w:proofErr w:type="spellEnd"/>
      <w:r w:rsidRPr="009A3D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ном України</w:t>
      </w:r>
      <w:r w:rsidRPr="009A3D2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"Про органи та осіб, які здійснюють примусове виконання судових рішень і рішень інших органів".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032"/>
      <w:bookmarkEnd w:id="14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 першого року зайняття діяльністю приватного виконавця, приватний виконавець не може здійснювати примусове виконання рішень за якими сума стягнення становить двадцять та більше мільйонів гривень або еквівалентну суму в іноземній валюті.</w:t>
      </w:r>
      <w:bookmarkStart w:id="15" w:name="n1035"/>
      <w:bookmarkEnd w:id="15"/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033"/>
      <w:bookmarkEnd w:id="16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 зайняття діяльністю приватного виконавця обчислюється з дня внесення інформації про приватного виконавця до Єдиного реєстру приватних виконавців України.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036"/>
      <w:bookmarkStart w:id="18" w:name="n1034"/>
      <w:bookmarkEnd w:id="17"/>
      <w:bookmarkEnd w:id="18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строку зайняття діяльністю приватного виконавця не зараховується строк зупинення діяльності приватного виконавця.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1030"/>
      <w:bookmarkStart w:id="20" w:name="n68"/>
      <w:bookmarkEnd w:id="19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Приватний виконавець має право повернути виконавчий документ </w:t>
      </w:r>
      <w:proofErr w:type="spellStart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стягувачу</w:t>
      </w:r>
      <w:proofErr w:type="spellEnd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 прийняття до виконання: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69"/>
      <w:bookmarkEnd w:id="21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якщо на момент подачі </w:t>
      </w:r>
      <w:proofErr w:type="spellStart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стягувачем</w:t>
      </w:r>
      <w:proofErr w:type="spellEnd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заяви про примусове виконання рішення кількість виконавчих документів за рішеннями про стягнення періодичних платежів, заробітної плати, заборгованості фізичних осіб з оплати житлово-комунальних послуг, поновлення на роботі перевищує 20 відсотків загальної кількості виконавчих документів, що перебувають на виконанні у приватного виконавця;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70"/>
      <w:bookmarkEnd w:id="22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в інших випадках, передбачених законом.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71"/>
      <w:bookmarkEnd w:id="23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поверненні виконавчого документа </w:t>
      </w:r>
      <w:proofErr w:type="spellStart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стягувачу</w:t>
      </w:r>
      <w:proofErr w:type="spellEnd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підстав, передбачених цією частиною, приватний виконавець зобов’язаний письмово зазначити підстави повернення, право </w:t>
      </w:r>
      <w:proofErr w:type="spellStart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стягувача</w:t>
      </w:r>
      <w:proofErr w:type="spellEnd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оскаржити рішення про повернення виконавчого документа без прийняття до виконання, а також право </w:t>
      </w:r>
      <w:proofErr w:type="spellStart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стягувача</w:t>
      </w:r>
      <w:proofErr w:type="spellEnd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подати виконавчий документ на виконання іншого приватного виконавця або до органу державної виконавчої служби.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72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Державний виконавець, приватний виконавець (далі - виконавець) не може виконувати рішення, якщо: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73"/>
      <w:bookmarkEnd w:id="25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1) боржником або </w:t>
      </w:r>
      <w:proofErr w:type="spellStart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стягувачем</w:t>
      </w:r>
      <w:proofErr w:type="spellEnd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 сам виконавець, близькі йому особи (</w:t>
      </w:r>
      <w:proofErr w:type="spellStart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</w:t>
      </w:r>
      <w:proofErr w:type="spellEnd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які разом проживають, пов’язані спільним побутом і мають взаємні права та обов’язки з виконавцем (у тому числі особи, які разом проживають, але не перебувають у шлюбі), а також незалежно від зазначених умов - чоловік, дружина, батько, мати, вітчим, мачуха, син, дочка, пасинок, падчерка, рідний брат, рідна сестра, дід, баба, прадід, прабаба, внук, внучка, правнук, правнучка, зять, невістка, тесть, теща, свекор, свекруха, </w:t>
      </w:r>
      <w:proofErr w:type="spellStart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усиновлювач</w:t>
      </w:r>
      <w:proofErr w:type="spellEnd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чи усиновлений, опікун чи піклувальник, особа, яка перебуває під опікою або піклуванням виконавця), пов’язані з ним особи.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74"/>
      <w:bookmarkEnd w:id="26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Пов’язаними особами у розумінні цього Закону є юридичні та/або фізичні особи, відносини між якими можуть впливати на умови або результати їхньої діяльності чи діяльності осіб, яких вони представляють, з урахуванням таких критеріїв: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75"/>
      <w:bookmarkEnd w:id="27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виконавець безпосередньо та/або опосередковано (через пов’язаних осіб) володіє корпоративними правами юридичної особи, яка є стороною виконавчого провадження, чи спільно з юридичною та/або фізичною особою, яка є стороною виконавчого провадження, володіє корпоративними правами будь-якої юридичної особи;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76"/>
      <w:bookmarkEnd w:id="28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виконавець має право та/або повноваження призначати (обирати) одноособовий виконавчий орган або колегіальний склад виконавчого органу/склад наглядової ради зазначених юридичних осіб.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77"/>
      <w:bookmarkEnd w:id="29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Пряма або опосередкована участь держави в юридичних особах не є підставою для визнання таких юридичних осіб пов’язаними;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78"/>
      <w:bookmarkEnd w:id="30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2) боржником або </w:t>
      </w:r>
      <w:proofErr w:type="spellStart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стягувачем</w:t>
      </w:r>
      <w:proofErr w:type="spellEnd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 особа, яка перебуває у трудових відносинах з таким виконавцем;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79"/>
      <w:bookmarkEnd w:id="31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виконавець, близька йому особа або особа, яка перебуває з виконавцем у трудових відносинах, має реальний або потенційний конфлікт інтересів;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80"/>
      <w:bookmarkEnd w:id="32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сума стягнення за виконавчим документом з урахуванням сум за виконавчими документами, що вже перебувають на виконанні у приватного виконавця, перевищує мінімальний розмір страхової суми за договором страхування цивільно-правової відповідальності такого приватного виконавця.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81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заявою </w:t>
      </w:r>
      <w:proofErr w:type="spellStart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стягувача</w:t>
      </w:r>
      <w:proofErr w:type="spellEnd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виконавчий документ може бути передано від одного приватного виконавця іншому або відповідному органу державної виконавчої служби, або від органу державної виконавчої служби - приватному виконавцю. Про передачу (прийняття до виконання) виконавчого документа виконавець виносить постанову.</w:t>
      </w:r>
    </w:p>
    <w:p w:rsidR="009A3D29" w:rsidRPr="009A3D29" w:rsidRDefault="009A3D29" w:rsidP="009A3D2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82"/>
      <w:bookmarkEnd w:id="34"/>
      <w:r w:rsidRPr="009A3D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Передача виконавчих документів здійснюється в порядку, визначеному Міністерством юстиції України.</w:t>
      </w:r>
    </w:p>
    <w:p w:rsidR="00F00FAA" w:rsidRDefault="009A3D29">
      <w:bookmarkStart w:id="35" w:name="n83"/>
      <w:bookmarkEnd w:id="3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1E08B3" w:rsidRPr="001E08B3" w:rsidRDefault="0037213B" w:rsidP="001E08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н</w:t>
      </w:r>
      <w:r w:rsidR="001E08B3" w:rsidRPr="001E08B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08B3" w:rsidRPr="001E08B3">
        <w:rPr>
          <w:rFonts w:ascii="Times New Roman" w:hAnsi="Times New Roman" w:cs="Times New Roman"/>
          <w:sz w:val="24"/>
          <w:szCs w:val="24"/>
        </w:rPr>
        <w:t xml:space="preserve"> Коломийського </w:t>
      </w:r>
      <w:proofErr w:type="spellStart"/>
      <w:r w:rsidR="001E08B3" w:rsidRPr="001E08B3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="001E08B3" w:rsidRPr="001E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B3" w:rsidRDefault="001E08B3" w:rsidP="001E08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E08B3">
        <w:rPr>
          <w:rFonts w:ascii="Times New Roman" w:hAnsi="Times New Roman" w:cs="Times New Roman"/>
          <w:sz w:val="24"/>
          <w:szCs w:val="24"/>
        </w:rPr>
        <w:t xml:space="preserve">ідділу </w:t>
      </w:r>
      <w:r>
        <w:rPr>
          <w:rFonts w:ascii="Times New Roman" w:hAnsi="Times New Roman" w:cs="Times New Roman"/>
          <w:sz w:val="24"/>
          <w:szCs w:val="24"/>
        </w:rPr>
        <w:t>державної виконавчої служби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3D29">
        <w:rPr>
          <w:rFonts w:ascii="Times New Roman" w:hAnsi="Times New Roman" w:cs="Times New Roman"/>
          <w:sz w:val="24"/>
          <w:szCs w:val="24"/>
        </w:rPr>
        <w:t>Івасюта</w:t>
      </w:r>
      <w:proofErr w:type="spellEnd"/>
      <w:r w:rsidR="009A3D29">
        <w:rPr>
          <w:rFonts w:ascii="Times New Roman" w:hAnsi="Times New Roman" w:cs="Times New Roman"/>
          <w:sz w:val="24"/>
          <w:szCs w:val="24"/>
        </w:rPr>
        <w:t xml:space="preserve"> Я.Я.</w:t>
      </w: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6" w:name="_GoBack"/>
      <w:bookmarkEnd w:id="36"/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Pr="001E08B3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E171F" w:rsidRPr="001E0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C0"/>
    <w:rsid w:val="001E08B3"/>
    <w:rsid w:val="0037213B"/>
    <w:rsid w:val="00902059"/>
    <w:rsid w:val="009A3D29"/>
    <w:rsid w:val="00AC69C0"/>
    <w:rsid w:val="00DE171F"/>
    <w:rsid w:val="00F0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2059"/>
  </w:style>
  <w:style w:type="character" w:customStyle="1" w:styleId="apple-converted-space">
    <w:name w:val="apple-converted-space"/>
    <w:basedOn w:val="a0"/>
    <w:rsid w:val="00902059"/>
  </w:style>
  <w:style w:type="character" w:styleId="a3">
    <w:name w:val="Hyperlink"/>
    <w:basedOn w:val="a0"/>
    <w:uiPriority w:val="99"/>
    <w:semiHidden/>
    <w:unhideWhenUsed/>
    <w:rsid w:val="00902059"/>
    <w:rPr>
      <w:color w:val="0000FF"/>
      <w:u w:val="single"/>
    </w:rPr>
  </w:style>
  <w:style w:type="paragraph" w:styleId="a4">
    <w:name w:val="No Spacing"/>
    <w:uiPriority w:val="1"/>
    <w:qFormat/>
    <w:rsid w:val="001E08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2059"/>
  </w:style>
  <w:style w:type="character" w:customStyle="1" w:styleId="apple-converted-space">
    <w:name w:val="apple-converted-space"/>
    <w:basedOn w:val="a0"/>
    <w:rsid w:val="00902059"/>
  </w:style>
  <w:style w:type="character" w:styleId="a3">
    <w:name w:val="Hyperlink"/>
    <w:basedOn w:val="a0"/>
    <w:uiPriority w:val="99"/>
    <w:semiHidden/>
    <w:unhideWhenUsed/>
    <w:rsid w:val="00902059"/>
    <w:rPr>
      <w:color w:val="0000FF"/>
      <w:u w:val="single"/>
    </w:rPr>
  </w:style>
  <w:style w:type="paragraph" w:styleId="a4">
    <w:name w:val="No Spacing"/>
    <w:uiPriority w:val="1"/>
    <w:qFormat/>
    <w:rsid w:val="001E08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404-19/print1480405480115090" TargetMode="External"/><Relationship Id="rId5" Type="http://schemas.openxmlformats.org/officeDocument/2006/relationships/hyperlink" Target="http://zakon3.rada.gov.ua/laws/show/1403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3912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2017-06-29T06:46:00Z</cp:lastPrinted>
  <dcterms:created xsi:type="dcterms:W3CDTF">2017-06-07T06:42:00Z</dcterms:created>
  <dcterms:modified xsi:type="dcterms:W3CDTF">2017-07-06T08:11:00Z</dcterms:modified>
</cp:coreProperties>
</file>