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45" w:rsidRPr="0071067D" w:rsidRDefault="00A66445" w:rsidP="0071067D">
      <w:pPr>
        <w:pStyle w:val="a3"/>
        <w:shd w:val="clear" w:color="auto" w:fill="FFFFFF"/>
        <w:spacing w:before="0" w:beforeAutospacing="0" w:after="9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  <w:lang w:val="uk-UA"/>
        </w:rPr>
      </w:pPr>
    </w:p>
    <w:p w:rsidR="0071067D" w:rsidRPr="0071067D" w:rsidRDefault="0071067D" w:rsidP="0071067D">
      <w:pPr>
        <w:spacing w:after="0" w:line="240" w:lineRule="auto"/>
        <w:ind w:firstLine="567"/>
        <w:rPr>
          <w:rFonts w:ascii="Helvetica" w:eastAsia="Times New Roman" w:hAnsi="Helvetica" w:cs="Helvetica"/>
          <w:lang w:val="ru-RU" w:eastAsia="ru-RU"/>
        </w:rPr>
      </w:pPr>
      <w:r w:rsidRPr="0071067D">
        <w:rPr>
          <w:rFonts w:ascii="Helvetica" w:eastAsia="Times New Roman" w:hAnsi="Helvetica" w:cs="Helvetica"/>
          <w:lang w:eastAsia="ru-RU"/>
        </w:rPr>
        <w:t xml:space="preserve">На замітку </w:t>
      </w:r>
      <w:proofErr w:type="spellStart"/>
      <w:r w:rsidRPr="0071067D">
        <w:rPr>
          <w:rFonts w:ascii="Helvetica" w:eastAsia="Times New Roman" w:hAnsi="Helvetica" w:cs="Helvetica"/>
          <w:lang w:eastAsia="ru-RU"/>
        </w:rPr>
        <w:t>прикарпатцям</w:t>
      </w:r>
      <w:proofErr w:type="spellEnd"/>
      <w:r w:rsidRPr="0071067D">
        <w:rPr>
          <w:rFonts w:ascii="Helvetica" w:eastAsia="Times New Roman" w:hAnsi="Helvetica" w:cs="Helvetica"/>
          <w:lang w:eastAsia="ru-RU"/>
        </w:rPr>
        <w:t>: як виконується рішення суду? Якщо у Вас на руках рішення суду, чи знаєте Ви, що з ним робити? Про це консультує Міністр юстиції Павло Петренко.</w:t>
      </w:r>
    </w:p>
    <w:p w:rsidR="0071067D" w:rsidRPr="0071067D" w:rsidRDefault="0071067D" w:rsidP="0071067D">
      <w:pPr>
        <w:spacing w:after="0" w:line="240" w:lineRule="auto"/>
        <w:ind w:firstLine="567"/>
        <w:rPr>
          <w:rFonts w:ascii="Helvetica" w:eastAsia="Times New Roman" w:hAnsi="Helvetica" w:cs="Helvetica"/>
          <w:lang w:val="ru-RU" w:eastAsia="ru-RU"/>
        </w:rPr>
      </w:pPr>
      <w:r w:rsidRPr="0071067D">
        <w:rPr>
          <w:rFonts w:ascii="Helvetica" w:eastAsia="Times New Roman" w:hAnsi="Helvetica" w:cs="Helvetica"/>
          <w:lang w:eastAsia="ru-RU"/>
        </w:rPr>
        <w:t> Дякую за співпрацю.</w:t>
      </w:r>
    </w:p>
    <w:p w:rsidR="00782BAB" w:rsidRPr="00A66445" w:rsidRDefault="00782BAB" w:rsidP="0071067D">
      <w:pPr>
        <w:pStyle w:val="a3"/>
        <w:shd w:val="clear" w:color="auto" w:fill="FFFFFF"/>
        <w:spacing w:before="0" w:beforeAutospacing="0" w:after="9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</w:rPr>
      </w:pP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Консультує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Міні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стр</w:t>
      </w:r>
      <w:proofErr w:type="spellEnd"/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юстиції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Павло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Петренко!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Вітаю</w:t>
      </w:r>
      <w:proofErr w:type="spellEnd"/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пане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Міністре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!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Чи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не могли б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мені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відповісти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декілька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запитань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щодо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суду? Маю на руках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суду і не знаю,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робити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ним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далі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  <w:r w:rsidRPr="00A66445">
        <w:rPr>
          <w:rStyle w:val="apple-converted-space"/>
          <w:rFonts w:ascii="Helvetica" w:hAnsi="Helvetica" w:cs="Helvetica"/>
          <w:color w:val="1D2129"/>
          <w:sz w:val="22"/>
          <w:szCs w:val="22"/>
        </w:rPr>
        <w:t> 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З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повагою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Олександр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Рева</w:t>
      </w:r>
    </w:p>
    <w:p w:rsidR="00782BAB" w:rsidRPr="00A66445" w:rsidRDefault="00782BAB" w:rsidP="0071067D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</w:rPr>
      </w:pP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таке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провадження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?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провадження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–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це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завершальна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стадія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судового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провадження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. В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Україні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може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виконуватись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як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добровільному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так і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примусовому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порядку.</w:t>
      </w:r>
      <w:r w:rsidRPr="00A66445">
        <w:rPr>
          <w:rStyle w:val="apple-converted-space"/>
          <w:rFonts w:ascii="Helvetica" w:hAnsi="Helvetica" w:cs="Helvetica"/>
          <w:color w:val="1D2129"/>
          <w:sz w:val="22"/>
          <w:szCs w:val="22"/>
        </w:rPr>
        <w:t> 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Сторонами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провадження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і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Стягувачем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особа, 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користь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чи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в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інтересах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видано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документ.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порядок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суду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добровільному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порядку?</w:t>
      </w:r>
      <w:r w:rsidRPr="00A66445">
        <w:rPr>
          <w:rStyle w:val="apple-converted-space"/>
          <w:rFonts w:ascii="Helvetica" w:hAnsi="Helvetica" w:cs="Helvetica"/>
          <w:color w:val="1D2129"/>
          <w:sz w:val="22"/>
          <w:szCs w:val="22"/>
        </w:rPr>
        <w:t> 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власним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волевиявленням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може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добровільно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.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разі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добровільного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порядку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періодичних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платежів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документ разом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заявою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може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бути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надісланий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стягувачем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підприємству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установі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організації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фізичній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особі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-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підприємцю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виплачують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відповідно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заробітну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плату,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пенсію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стипендію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інші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доходи.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алгоритм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випадку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примусового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заборгованості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?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разі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задоволення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судом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вимог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сплату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заборгованості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добровільно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не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виконує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суду,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має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право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пред’явити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документ для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примусового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. Для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цього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потрібно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: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звернутися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суду,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розглядав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справу,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заявою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видачу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судового наказу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листа;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написати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заяву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до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державної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служби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приватного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виконавця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проханням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примусового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заборгованості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сплатити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авансовий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внесок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органу ДВС,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куди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буде подано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лист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приватного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виконавця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подати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заяву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копією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квитанції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сплату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авансового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внеску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ДВС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приватного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виконавця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</w:p>
    <w:p w:rsidR="00782BAB" w:rsidRPr="00A66445" w:rsidRDefault="00782BAB" w:rsidP="0071067D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</w:rPr>
      </w:pP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строки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пред’явлення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документів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?</w:t>
      </w:r>
      <w:r w:rsidRPr="00A66445">
        <w:rPr>
          <w:rStyle w:val="apple-converted-space"/>
          <w:rFonts w:ascii="Helvetica" w:hAnsi="Helvetica" w:cs="Helvetica"/>
          <w:color w:val="1D2129"/>
          <w:sz w:val="22"/>
          <w:szCs w:val="22"/>
        </w:rPr>
        <w:t> 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документи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можуть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бути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пред’явлені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примусового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: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протягом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3-х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років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наступного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дня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п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ісля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набрання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рішенням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законної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сили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підлягає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негайному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-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наступного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дня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після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його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прийняття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протягом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3-х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місяців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мова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йде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посвідчення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комісій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трудових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спорах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документи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якими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стягувачем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держава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державний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орган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п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ротягом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усього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періоду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у справах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аліментів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відшкодування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шкоди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заподіяної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внаслідок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каліцтва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чи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іншого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ушкодження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здоров’я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втрати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годувальника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тощо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пропустив строк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пред’явлення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документа до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він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має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право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звернутися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заявою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поновлення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такого строку 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до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суду,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розглядав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справу.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потрібно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сплатити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примусове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?</w:t>
      </w:r>
      <w:r w:rsidRPr="00A66445">
        <w:rPr>
          <w:rStyle w:val="apple-converted-space"/>
          <w:rFonts w:ascii="Helvetica" w:hAnsi="Helvetica" w:cs="Helvetica"/>
          <w:color w:val="1D2129"/>
          <w:sz w:val="22"/>
          <w:szCs w:val="22"/>
        </w:rPr>
        <w:t> 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: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збі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spellEnd"/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-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це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збір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справляється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всій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території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України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примусове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органами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державної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служби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розмірі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10 %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фактично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стягнута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повернута,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вартості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майна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переданого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виконавчим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документом.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разі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приватним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виконавцем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стягується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основна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винагорода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розмір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lastRenderedPageBreak/>
        <w:t>якої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становить 10 %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стягнутої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ним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вартості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майна,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підлягає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передачі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виконавчим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документом.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: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Авансовий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внесок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–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це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кошти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рахунок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фінансуються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витрати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організацію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проведення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органом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державної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служби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(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приватним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виконавцем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).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Розмі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spellEnd"/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авансового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внеску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становить: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2 %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підлягає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стягненню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але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не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більше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10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мінімальних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розмірів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заробітної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плати (до 41 730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грн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);</w:t>
      </w:r>
      <w:r w:rsidRPr="00A66445">
        <w:rPr>
          <w:rStyle w:val="apple-converted-space"/>
          <w:rFonts w:ascii="Helvetica" w:hAnsi="Helvetica" w:cs="Helvetica"/>
          <w:color w:val="1D2129"/>
          <w:sz w:val="22"/>
          <w:szCs w:val="22"/>
        </w:rPr>
        <w:t> 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1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мінімальний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розмі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spellEnd"/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заробітної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плати (4 173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грн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)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рішенням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немайнового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характеру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рішень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забезпечення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позову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-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фізичної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особи та 2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мінімальні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розміри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заробітної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плати (8 346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грн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)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-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юридичної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особи.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Хто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звільняється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сплати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авансового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внеску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?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сплати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авансового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внеску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звільняються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разі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їх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звернення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органів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державної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служби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: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інваліди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війни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інваліди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I та II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груп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законні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представники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діте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й-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інвалідів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і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недієздатних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інвалідів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I та II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груп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громадяни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віднесені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категорій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1 та 2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осіб</w:t>
      </w:r>
      <w:proofErr w:type="spellEnd"/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постраждали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внаслідок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Чорнобильської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катастрофи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Крім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того,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Законі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передбачені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суду,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авансовий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внесок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не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сплачується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наприклад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:</w:t>
      </w:r>
      <w:r w:rsidRPr="00A66445">
        <w:rPr>
          <w:rStyle w:val="apple-converted-space"/>
          <w:rFonts w:ascii="Helvetica" w:hAnsi="Helvetica" w:cs="Helvetica"/>
          <w:color w:val="1D2129"/>
          <w:sz w:val="22"/>
          <w:szCs w:val="22"/>
        </w:rPr>
        <w:t> 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заробітної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плати,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поновлення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роботі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інші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вимоги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випливають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трудових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правовідносин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обчислення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призначення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перерахунок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здійснення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надання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одержання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пенсійних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соціальних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виплат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доплат,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соціальних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послуг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допомоги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захисту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пільг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відшкодування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шкоди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заподіяної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каліцтвом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іншим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ушкодженням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здоров’я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також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смертю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фізичної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особи;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аліментів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заборгованості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сплати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аліментів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додаткових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витрат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дитину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, неустойки (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)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прострочення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сплати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аліментів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індексації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аліментів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встановлення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побачення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дитиною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усунення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перешкод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побаченні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дитиною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;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відшкодування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майнової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та/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моральної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шкоди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завданої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внаслідок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вчинення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кримінального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правопорушення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•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Європейського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суду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прав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людини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</w:p>
    <w:p w:rsidR="00782BAB" w:rsidRPr="00A66445" w:rsidRDefault="00782BAB" w:rsidP="0071067D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</w:rPr>
      </w:pPr>
      <w:r w:rsidRPr="00A66445">
        <w:rPr>
          <w:rFonts w:ascii="Helvetica" w:hAnsi="Helvetica" w:cs="Helvetica"/>
          <w:color w:val="1D2129"/>
          <w:sz w:val="22"/>
          <w:szCs w:val="22"/>
        </w:rPr>
        <w:t xml:space="preserve">Як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отримати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присуджені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кошти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?</w:t>
      </w:r>
      <w:r w:rsidRPr="00A66445">
        <w:rPr>
          <w:rStyle w:val="apple-converted-space"/>
          <w:rFonts w:ascii="Helvetica" w:hAnsi="Helvetica" w:cs="Helvetica"/>
          <w:color w:val="1D2129"/>
          <w:sz w:val="22"/>
          <w:szCs w:val="22"/>
        </w:rPr>
        <w:t> 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Грошові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стягнуті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(у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томі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числі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одержані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реалізації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майна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),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зараховуються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відповідний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рахунок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органу ДВС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чи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рахунок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приватного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виконавця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.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письмовою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заявою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фізичної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особи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стягнуті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грошові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перераховуються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виконавцем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зазначений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стягувачем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рахунок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у банку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або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іншій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фінансовій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установі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чи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надсилаються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на адресу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стягувача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поштовим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переказом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здійснюється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його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рахунок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крім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переказу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ал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іментних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</w:p>
    <w:p w:rsidR="00782BAB" w:rsidRPr="00A66445" w:rsidRDefault="00782BAB" w:rsidP="0071067D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</w:rPr>
      </w:pP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Куди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звертатися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більш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детальною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консультацією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роз’ясненнями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?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у вас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залишились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питання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цього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приводу, будь ласка,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телефонуйте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контакт-центру</w:t>
      </w:r>
      <w:proofErr w:type="spellEnd"/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системи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безоплатної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правової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допомоги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 номером 0 (800) 213 103,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цілодобово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безкоштовно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в межах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України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. В центрах та бюро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надання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безоплатної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правової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допомоги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по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вс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країні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можете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отримати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юридичну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консультацію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правовий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захист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</w:p>
    <w:p w:rsidR="00782BAB" w:rsidRPr="00A66445" w:rsidRDefault="00782BAB" w:rsidP="0071067D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</w:rPr>
      </w:pP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Окремо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хочу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зазначити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Мін’юст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запровадив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низку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суттєвих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новацій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серед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створення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Єдиного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реєстру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ведеться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метою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оприлюднення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в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режимі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реального часу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інформації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невиконані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майнові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зобов’язання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боржникі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в</w:t>
      </w:r>
      <w:proofErr w:type="spellEnd"/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запобігання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відчуженню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боржниками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майна.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Відомості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боржникі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в</w:t>
      </w:r>
      <w:proofErr w:type="spellEnd"/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включені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Єдиного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реєстру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є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відкритими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розміщуються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на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офіційному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веб-сайті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Міністерства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юстиції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України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:</w:t>
      </w:r>
      <w:r w:rsidRPr="00A66445">
        <w:rPr>
          <w:rStyle w:val="apple-converted-space"/>
          <w:rFonts w:ascii="Helvetica" w:hAnsi="Helvetica" w:cs="Helvetica"/>
          <w:color w:val="1D2129"/>
          <w:sz w:val="22"/>
          <w:szCs w:val="22"/>
        </w:rPr>
        <w:t> </w:t>
      </w:r>
      <w:hyperlink r:id="rId4" w:tgtFrame="_blank" w:history="1">
        <w:r w:rsidRPr="00A66445">
          <w:rPr>
            <w:rStyle w:val="a4"/>
            <w:rFonts w:ascii="Helvetica" w:hAnsi="Helvetica" w:cs="Helvetica"/>
            <w:color w:val="365899"/>
            <w:sz w:val="22"/>
            <w:szCs w:val="22"/>
            <w:u w:val="none"/>
          </w:rPr>
          <w:t>https://erb.minjust.gov.ua.</w:t>
        </w:r>
      </w:hyperlink>
    </w:p>
    <w:p w:rsidR="00782BAB" w:rsidRPr="00A66445" w:rsidRDefault="00782BAB" w:rsidP="0071067D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</w:rPr>
      </w:pP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lastRenderedPageBreak/>
        <w:t>Крім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того, у 2018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році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в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зазначеному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реє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стр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відкрито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публічні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реєстри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неплатників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аліментів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перешкоджають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побаченням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дитиною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також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боржників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які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мають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заборгованість по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заробітній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платі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.</w:t>
      </w:r>
    </w:p>
    <w:p w:rsidR="00782BAB" w:rsidRPr="00A66445" w:rsidRDefault="00782BAB" w:rsidP="0071067D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</w:rPr>
      </w:pP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Також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щоб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забезпечити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громадянам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зручний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сервіс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у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сфері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примусового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судових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ми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відкрили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чотири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«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Центри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рішень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», де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громадяни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мають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можливість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подавати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документи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примусове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рішень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та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інші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документи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провадження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 принципом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екстериторіальності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в межах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відповідної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області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отримати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відомості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автоматизованої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системи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виконавчого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провадження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перевірити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документи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на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відповідність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законодавству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отримати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консультацію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швидко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та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правильно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оформити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документи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оплатити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заборгованість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чи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авансовий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внесок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через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термінал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тощо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Завітати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до «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Центрів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виконання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ішень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»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можна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за адресами:</w:t>
      </w:r>
    </w:p>
    <w:p w:rsidR="00782BAB" w:rsidRPr="00A66445" w:rsidRDefault="00782BAB" w:rsidP="0071067D">
      <w:pPr>
        <w:pStyle w:val="a3"/>
        <w:shd w:val="clear" w:color="auto" w:fill="FFFFFF"/>
        <w:spacing w:before="90" w:beforeAutospacing="0" w:after="0" w:afterAutospacing="0" w:line="290" w:lineRule="atLeast"/>
        <w:ind w:firstLine="567"/>
        <w:rPr>
          <w:rFonts w:ascii="Helvetica" w:hAnsi="Helvetica" w:cs="Helvetica"/>
          <w:color w:val="1D2129"/>
          <w:sz w:val="22"/>
          <w:szCs w:val="22"/>
        </w:rPr>
      </w:pPr>
      <w:r w:rsidRPr="00A66445">
        <w:rPr>
          <w:rFonts w:ascii="Helvetica" w:hAnsi="Helvetica" w:cs="Helvetica"/>
          <w:color w:val="1D2129"/>
          <w:sz w:val="22"/>
          <w:szCs w:val="22"/>
        </w:rPr>
        <w:t xml:space="preserve">м.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Дніпро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вул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Володимира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Винниченка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, 2;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м.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Сєвєродонецьк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, вул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.Ф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едоренка,10;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м.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Суми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вул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Петропавлівська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, 75;</w:t>
      </w:r>
      <w:r w:rsidRPr="00A66445">
        <w:rPr>
          <w:rFonts w:ascii="Helvetica" w:hAnsi="Helvetica" w:cs="Helvetica"/>
          <w:color w:val="1D2129"/>
          <w:sz w:val="22"/>
          <w:szCs w:val="22"/>
        </w:rPr>
        <w:br/>
        <w:t xml:space="preserve">м. Одеса, </w:t>
      </w:r>
      <w:proofErr w:type="spellStart"/>
      <w:r w:rsidRPr="00A66445">
        <w:rPr>
          <w:rFonts w:ascii="Helvetica" w:hAnsi="Helvetica" w:cs="Helvetica"/>
          <w:color w:val="1D2129"/>
          <w:sz w:val="22"/>
          <w:szCs w:val="22"/>
        </w:rPr>
        <w:t>вул</w:t>
      </w:r>
      <w:proofErr w:type="gramStart"/>
      <w:r w:rsidRPr="00A66445">
        <w:rPr>
          <w:rFonts w:ascii="Helvetica" w:hAnsi="Helvetica" w:cs="Helvetica"/>
          <w:color w:val="1D2129"/>
          <w:sz w:val="22"/>
          <w:szCs w:val="22"/>
        </w:rPr>
        <w:t>.Р</w:t>
      </w:r>
      <w:proofErr w:type="gramEnd"/>
      <w:r w:rsidRPr="00A66445">
        <w:rPr>
          <w:rFonts w:ascii="Helvetica" w:hAnsi="Helvetica" w:cs="Helvetica"/>
          <w:color w:val="1D2129"/>
          <w:sz w:val="22"/>
          <w:szCs w:val="22"/>
        </w:rPr>
        <w:t>азумовська</w:t>
      </w:r>
      <w:proofErr w:type="spellEnd"/>
      <w:r w:rsidRPr="00A66445">
        <w:rPr>
          <w:rFonts w:ascii="Helvetica" w:hAnsi="Helvetica" w:cs="Helvetica"/>
          <w:color w:val="1D2129"/>
          <w:sz w:val="22"/>
          <w:szCs w:val="22"/>
        </w:rPr>
        <w:t>, 37.</w:t>
      </w:r>
    </w:p>
    <w:p w:rsidR="00341D4F" w:rsidRPr="00A66445" w:rsidRDefault="00341D4F" w:rsidP="0071067D">
      <w:pPr>
        <w:ind w:firstLine="567"/>
        <w:rPr>
          <w:rFonts w:ascii="Helvetica" w:hAnsi="Helvetica" w:cs="Helvetica"/>
        </w:rPr>
      </w:pPr>
    </w:p>
    <w:sectPr w:rsidR="00341D4F" w:rsidRPr="00A66445" w:rsidSect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AB"/>
    <w:rsid w:val="00341D4F"/>
    <w:rsid w:val="0071067D"/>
    <w:rsid w:val="00782BAB"/>
    <w:rsid w:val="00883707"/>
    <w:rsid w:val="008D3E7D"/>
    <w:rsid w:val="00A66445"/>
    <w:rsid w:val="00BC7E72"/>
    <w:rsid w:val="00EA3BE8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82BAB"/>
  </w:style>
  <w:style w:type="character" w:styleId="a4">
    <w:name w:val="Hyperlink"/>
    <w:basedOn w:val="a0"/>
    <w:uiPriority w:val="99"/>
    <w:semiHidden/>
    <w:unhideWhenUsed/>
    <w:rsid w:val="00782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erb.minjust.gov.ua%2F%3Ffbclid%3DIwAR0Sy27wQfLhkCwBM6L3fM2q8pgXRCQminznkNp42QKSfI2bp7TJ08LBzvg&amp;h=AT2wUdq05HCH882PU3jMh7sw2jDJ-5vPVyoDrka0FFlgYWLj6YCOXNo0gff2BYTH3iSjMXukeC5pJIhcWjCdsSIkEbp4hUMdelXrzhVAt1S7ur4LZRQ4zfMV4opnVGpSbsnL1sD-JZxsWopqsxL80kjKA4xI1r_Xg5YewsQ9sYB4kWaSMFgNlRrbR4IFl5v4LB5_WTJn2uTC84eUYZ57qCHHbAsaQkc4Ko6OLsO9MAb-QT2bgOFgy_gpEuoovZ4VEoF0psKXA9Z5Luv_v8gPYcXpgzHOsZ6WRMFh50TVHT1T3oJVFav2wtuxclrZXp8DN7lPi15wocn8jOqD66cnACJLImMaQgkMQl7Ak9xGpvV6AzPievQCtjcxfrV6HnRJpvf4TegIIJX0FvQlwfqPWRx95t0G_xsKoP946_HdT8CUbCepwmpyIFW6JbSL80eDLcCv1dCG4YUOHjTL7QfKW04x13EKy07nnfCh4LG8m4ca5x7BOODbfpTMtX6paIXykU3n80_s-TiZ9vJhrcx9ZikoXBfhagPPKyW7jAvyFmWffUIqVCljeNBjxrjk7jzMeOg9RJV-ZMNUdgddTx-QI4oObzd4aOQz5xQwHZbDlEFUEuq_kuNsvI9zrVORnGeN-AkCqsp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2019-03-19T06:47:00Z</dcterms:created>
  <dcterms:modified xsi:type="dcterms:W3CDTF">2019-03-19T07:28:00Z</dcterms:modified>
</cp:coreProperties>
</file>