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360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b w:val="0"/>
                <w:bCs w:val="0"/>
                <w:i w:val="0"/>
                <w:iCs w:val="0"/>
                <w:strike w:val="0"/>
                <w:u w:val="none"/>
                <w:lang w:val="uk" w:eastAsia="uk"/>
              </w:rPr>
              <w:drawing>
                <wp:inline>
                  <wp:extent cx="5715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7"/>
              <w:spacing w:before="300" w:after="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23"/>
                <w:b/>
                <w:bCs/>
                <w:i w:val="0"/>
                <w:iCs w:val="0"/>
                <w:lang w:val="uk" w:eastAsia="uk"/>
              </w:rPr>
              <w:t>КАБІНЕТ МІНІСТРІВ УКРАЇНИ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64"/>
                <w:b/>
                <w:bCs/>
                <w:i w:val="0"/>
                <w:iCs w:val="0"/>
                <w:lang w:val="uk" w:eastAsia="uk"/>
              </w:rPr>
              <w:t>ПОСТАНОВА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від 16 травня 2023 р. № 492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Київ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" w:name="n3"/>
      <w:bookmarkEnd w:id="1"/>
      <w:r>
        <w:rPr>
          <w:rStyle w:val="spanrvts23"/>
          <w:b/>
          <w:bCs/>
          <w:i w:val="0"/>
          <w:iCs w:val="0"/>
          <w:lang w:val="uk" w:eastAsia="uk"/>
        </w:rPr>
        <w:t>Про внесення змін до Порядку прийому на навчання за освітньо-професійною програмою підготовки магістрів за спеціальністю “Публічне управління та адміністрування” галузі знань “Публічне управління та адміністрування”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" w:name="n4"/>
      <w:bookmarkEnd w:id="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Кабінет Міністрів України </w:t>
      </w:r>
      <w:r>
        <w:rPr>
          <w:rStyle w:val="spanrvts52"/>
          <w:b/>
          <w:bCs/>
          <w:i w:val="0"/>
          <w:iCs w:val="0"/>
          <w:lang w:val="uk" w:eastAsia="uk"/>
        </w:rPr>
        <w:t>постановляє: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" w:name="n5"/>
      <w:bookmarkEnd w:id="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Внести до </w:t>
      </w:r>
      <w:hyperlink r:id="rId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Порядку прийому на навчання за освітньо-професійною програмою підготовки магістрів за спеціальністю “Публічне управління та адміністрування” галузі знань “Публічне управління та адміністрування”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, затвердженого постановою Кабінету Міністрів України від 29 липня 2009 р. № 789 (Офіційний вісник України, 2009 р., № 58, ст. 2031; 2016 р., № 79, ст. 2647; 2018 р., № 17, ст. 577; 2019 р., № 58, ст. 2000; 2021 р., № 37, ст. 2233; 2022 р., № 49, ст. 2775), зміни, що додаються.</w:t>
      </w:r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8"/>
        <w:gridCol w:w="6552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4" w:name="n6"/>
            <w:bookmarkEnd w:id="4"/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Прем'єр-міністр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Д. ШМИГАЛЬ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Інд. 19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</w:tbl>
    <w:p>
      <w:pPr>
        <w:pStyle w:val="bre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50"/>
        <w:ind w:left="0" w:right="0" w:firstLine="0"/>
        <w:jc w:val="both"/>
        <w:rPr>
          <w:rStyle w:val="spanrvts0"/>
          <w:b w:val="0"/>
          <w:bCs w:val="0"/>
          <w:i w:val="0"/>
          <w:iCs w:val="0"/>
          <w:lang w:val="uk" w:eastAsia="uk"/>
        </w:rPr>
      </w:pPr>
      <w:r>
        <w:pict>
          <v:rect id="_x0000_i1025" style="width:0;height:0.75pt" o:hrpct="0" o:hrstd="t" o:hr="t" filled="t" fillcolor="gray" stroked="f">
            <v:path strokeok="f"/>
          </v:rect>
        </w:pict>
      </w:r>
      <w:bookmarkStart w:id="5" w:name="n14"/>
      <w:bookmarkEnd w:id="5"/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744"/>
        <w:gridCol w:w="561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6" w:name="n7"/>
            <w:bookmarkEnd w:id="6"/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ЗАТВЕРДЖЕНО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постановою Кабінету Міністрів України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від 16 травня 2023 р. № 492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" w:name="n8"/>
      <w:bookmarkEnd w:id="7"/>
      <w:r>
        <w:rPr>
          <w:rStyle w:val="spanrvts23"/>
          <w:b/>
          <w:bCs/>
          <w:i w:val="0"/>
          <w:iCs w:val="0"/>
          <w:lang w:val="uk" w:eastAsia="uk"/>
        </w:rPr>
        <w:t xml:space="preserve">ЗМІНИ, </w:t>
      </w:r>
      <w:r>
        <w:rPr>
          <w:rStyle w:val="spanrvts23"/>
          <w:b/>
          <w:bCs/>
          <w:i w:val="0"/>
          <w:iCs w:val="0"/>
          <w:lang w:val="uk" w:eastAsia="uk"/>
        </w:rPr>
        <w:br/>
      </w:r>
      <w:r>
        <w:rPr>
          <w:rStyle w:val="spanrvts23"/>
          <w:b/>
          <w:bCs/>
          <w:i w:val="0"/>
          <w:iCs w:val="0"/>
          <w:lang w:val="uk" w:eastAsia="uk"/>
        </w:rPr>
        <w:t xml:space="preserve">що вносяться до </w:t>
      </w:r>
      <w:hyperlink r:id="rId5" w:tgtFrame="_blank" w:history="1">
        <w:r>
          <w:rPr>
            <w:rStyle w:val="arvts105"/>
            <w:b/>
            <w:bCs/>
            <w:i w:val="0"/>
            <w:iCs w:val="0"/>
            <w:lang w:val="uk" w:eastAsia="uk"/>
          </w:rPr>
          <w:t>Порядку прийому на навчання за освітньо-професійною програмою підготовки магістрів за спеціальністю “Публічне управління та адміністрування” галузі знань “Публічне управління та адміністрування”</w:t>
        </w:r>
      </w:hyperlink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" w:name="n9"/>
      <w:bookmarkEnd w:id="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1. В </w:t>
      </w:r>
      <w:hyperlink r:id="rId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абзаці першому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пункту 14</w:t>
      </w:r>
      <w:r>
        <w:rPr>
          <w:rStyle w:val="spanrvts37"/>
          <w:b/>
          <w:bCs/>
          <w:i w:val="0"/>
          <w:iCs w:val="0"/>
          <w:sz w:val="0"/>
          <w:szCs w:val="0"/>
          <w:lang w:val="uk" w:eastAsia="uk"/>
        </w:rPr>
        <w:t>-</w:t>
      </w:r>
      <w:r>
        <w:rPr>
          <w:rStyle w:val="spanrvts37"/>
          <w:b/>
          <w:bCs/>
          <w:i w:val="0"/>
          <w:iCs w:val="0"/>
          <w:lang w:val="uk" w:eastAsia="uk"/>
        </w:rPr>
        <w:t>1</w:t>
      </w:r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цифри “2022” замінити цифрами “2023”.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" w:name="n10"/>
      <w:bookmarkEnd w:id="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2. </w:t>
      </w:r>
      <w:hyperlink r:id="rId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Пункт 16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викласти в такій редакції: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" w:name="n11"/>
      <w:bookmarkEnd w:id="10"/>
      <w:r>
        <w:rPr>
          <w:rStyle w:val="spanrvts0"/>
          <w:b w:val="0"/>
          <w:bCs w:val="0"/>
          <w:i w:val="0"/>
          <w:iCs w:val="0"/>
          <w:lang w:val="uk" w:eastAsia="uk"/>
        </w:rPr>
        <w:t>“16. Конкурсний відбір осіб на навчання здійснюється: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1" w:name="n12"/>
      <w:bookmarkEnd w:id="11"/>
      <w:r>
        <w:rPr>
          <w:rStyle w:val="spanrvts0"/>
          <w:b w:val="0"/>
          <w:bCs w:val="0"/>
          <w:i w:val="0"/>
          <w:iCs w:val="0"/>
          <w:lang w:val="uk" w:eastAsia="uk"/>
        </w:rPr>
        <w:t>на основі раніше здобутого ступеня вищої освіти бакалавра - за результатами єдиного фахового вступного випробування та єдиного вступного іспиту, що проводяться відповідно до законодавства;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" w:name="n13"/>
      <w:bookmarkEnd w:id="12"/>
      <w:r>
        <w:rPr>
          <w:rStyle w:val="spanrvts0"/>
          <w:b w:val="0"/>
          <w:bCs w:val="0"/>
          <w:i w:val="0"/>
          <w:iCs w:val="0"/>
          <w:lang w:val="uk" w:eastAsia="uk"/>
        </w:rPr>
        <w:t>на основі раніше здобутого ступеня вищої освіти магістра* - за результатами фахового іспиту з основ економіки та держави і права, вступного іспиту з іноземної мови, що проводяться закладами вищої освіти, або за результатами єдиного фахового вступного випробування та єдиного вступного іспиту, що проводяться відповідно до законодавства.”.</w:t>
      </w:r>
    </w:p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внесення змін до Порядку прийому на навчання за освітньо-професійною програмою підготовки магістрів за спеціальністю “Публічне управління та адміністрування” галузі знань “Публічне управління та адміністрування”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Постанова Кабінету Міністрів України від 16.05.2023 № 492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16.05.2023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https://zakon.rada.gov.ua/go/492-2023-%D0%BF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29.06.2023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39213"/>
                  <wp:docPr id="10000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6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1"/>
        </w:numPr>
        <w:spacing w:before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Урядовий кур'єр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20.05.2023 — № 101</w:t>
      </w:r>
    </w:p>
    <w:p>
      <w:pPr>
        <w:numPr>
          <w:ilvl w:val="0"/>
          <w:numId w:val="1"/>
        </w:numPr>
        <w:spacing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02.06.2023 — 2023 р., № 52, стор. 65, стаття 2906, код акта 118461/2023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spanrvts0">
    <w:name w:val="span_rvts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both"/>
    </w:pPr>
  </w:style>
  <w:style w:type="paragraph" w:customStyle="1" w:styleId="rvps7">
    <w:name w:val="rvps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7">
    <w:name w:val="rvps1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tLeast"/>
      <w:ind w:firstLine="0"/>
      <w:jc w:val="center"/>
    </w:pPr>
  </w:style>
  <w:style w:type="character" w:customStyle="1" w:styleId="spanrvts23">
    <w:name w:val="span_rvts23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64">
    <w:name w:val="span_rvts6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6"/>
      <w:szCs w:val="36"/>
    </w:rPr>
  </w:style>
  <w:style w:type="character" w:customStyle="1" w:styleId="spanrvts9">
    <w:name w:val="span_rvts9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TableNormal"/>
    <w:tblPr/>
  </w:style>
  <w:style w:type="paragraph" w:customStyle="1" w:styleId="rvps6">
    <w:name w:val="rvps6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2">
    <w:name w:val="rvps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450"/>
      <w:jc w:val="both"/>
    </w:pPr>
  </w:style>
  <w:style w:type="character" w:customStyle="1" w:styleId="spanrvts52">
    <w:name w:val="span_rvts52"/>
    <w:basedOn w:val="DefaultParagraphFont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4">
    <w:name w:val="rvps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44">
    <w:name w:val="span_rvts4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right"/>
    </w:pPr>
  </w:style>
  <w:style w:type="paragraph" w:customStyle="1" w:styleId="break">
    <w:name w:val="break"/>
    <w:basedOn w:val="Normal"/>
    <w:pPr>
      <w:pageBreakBefore/>
    </w:pPr>
  </w:style>
  <w:style w:type="paragraph" w:customStyle="1" w:styleId="rvps14">
    <w:name w:val="rvps1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left"/>
    </w:pPr>
  </w:style>
  <w:style w:type="paragraph" w:customStyle="1" w:styleId="rvps12">
    <w:name w:val="rvps1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arvts105">
    <w:name w:val="a_rvts105"/>
    <w:basedOn w:val="DefaultParagraphFont"/>
    <w:rPr>
      <w:rFonts w:ascii="Times New Roman" w:eastAsia="Times New Roman" w:hAnsi="Times New Roman" w:cs="Times New Roman"/>
      <w:b/>
      <w:bCs/>
      <w:i w:val="0"/>
      <w:iCs w:val="0"/>
      <w:color w:val="000099"/>
      <w:sz w:val="32"/>
      <w:szCs w:val="32"/>
    </w:rPr>
  </w:style>
  <w:style w:type="character" w:customStyle="1" w:styleId="spanrvts37">
    <w:name w:val="span_rvts37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789-2009-%D0%BF" TargetMode="Externa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Порядку прийому на навчання за освітньо-професійною програмою підготовки магістрів за спеціальністю “Публічне упр... | від 16.05.2023 № 492</dc:title>
  <cp:revision>0</cp:revision>
</cp:coreProperties>
</file>